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3A1840">
      <w:pPr>
        <w:jc w:val="both"/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59040C">
        <w:rPr>
          <w:b/>
        </w:rPr>
        <w:t xml:space="preserve"> </w:t>
      </w:r>
      <w:r w:rsidR="00F54AB3" w:rsidRPr="00F54AB3">
        <w:rPr>
          <w:b/>
        </w:rPr>
        <w:t>2.3 Gospodarka wodno-ściekowa w aglomeracjach</w:t>
      </w:r>
    </w:p>
    <w:p w:rsidR="0091713A" w:rsidRDefault="0056579D" w:rsidP="00230E7E">
      <w:pPr>
        <w:rPr>
          <w:b/>
        </w:rPr>
      </w:pPr>
      <w:r>
        <w:rPr>
          <w:b/>
        </w:rPr>
        <w:t>Nazwa projektu:</w:t>
      </w:r>
      <w:r w:rsidR="00F54AB3">
        <w:rPr>
          <w:b/>
        </w:rPr>
        <w:t xml:space="preserve"> </w:t>
      </w:r>
      <w:r w:rsidR="00E55CA2" w:rsidRPr="00E55CA2">
        <w:rPr>
          <w:b/>
        </w:rPr>
        <w:t>Modernizacja oczyszczalni ścieków oraz rozbudowa i modernizacja kanalizacji na terenie Gminy Łask</w:t>
      </w:r>
    </w:p>
    <w:p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E55CA2" w:rsidRPr="00E55CA2">
        <w:rPr>
          <w:b/>
        </w:rPr>
        <w:t>POIS.02.03.00-00-0042/16</w:t>
      </w:r>
    </w:p>
    <w:p w:rsidR="00F54AB3" w:rsidRPr="00F54AB3" w:rsidRDefault="0056579D" w:rsidP="00230E7E">
      <w:pPr>
        <w:rPr>
          <w:b/>
        </w:rPr>
      </w:pPr>
      <w:r>
        <w:rPr>
          <w:b/>
        </w:rPr>
        <w:t>Beneficjent:</w:t>
      </w:r>
      <w:r w:rsidR="00F54AB3">
        <w:rPr>
          <w:b/>
        </w:rPr>
        <w:t xml:space="preserve"> </w:t>
      </w:r>
      <w:r w:rsidR="00E55CA2">
        <w:rPr>
          <w:rFonts w:ascii="Arial" w:hAnsi="Arial" w:cs="Arial"/>
          <w:sz w:val="20"/>
          <w:szCs w:val="20"/>
        </w:rPr>
        <w:t xml:space="preserve">Miejskie </w:t>
      </w:r>
      <w:r w:rsidR="00E55CA2" w:rsidRPr="00E55CA2">
        <w:rPr>
          <w:b/>
        </w:rPr>
        <w:t>Przedsiębiorstwo Wodociągów i Kanalizacji Spółka z o.o.</w:t>
      </w:r>
    </w:p>
    <w:p w:rsidR="0056579D" w:rsidRDefault="00F54AB3" w:rsidP="00230E7E">
      <w:pPr>
        <w:rPr>
          <w:b/>
        </w:rPr>
      </w:pPr>
      <w:r>
        <w:rPr>
          <w:b/>
        </w:rPr>
        <w:t xml:space="preserve"> </w:t>
      </w:r>
      <w:r w:rsidR="0056579D">
        <w:rPr>
          <w:b/>
        </w:rPr>
        <w:t>Wartość projektu:</w:t>
      </w:r>
      <w:r>
        <w:rPr>
          <w:b/>
        </w:rPr>
        <w:t xml:space="preserve"> </w:t>
      </w:r>
      <w:r w:rsidR="009567FA" w:rsidRPr="009567FA">
        <w:rPr>
          <w:b/>
        </w:rPr>
        <w:t>67</w:t>
      </w:r>
      <w:r w:rsidR="009567FA">
        <w:rPr>
          <w:b/>
        </w:rPr>
        <w:t xml:space="preserve"> </w:t>
      </w:r>
      <w:r w:rsidR="009567FA" w:rsidRPr="009567FA">
        <w:rPr>
          <w:b/>
        </w:rPr>
        <w:t>545</w:t>
      </w:r>
      <w:r w:rsidR="009567FA">
        <w:rPr>
          <w:b/>
        </w:rPr>
        <w:t xml:space="preserve"> </w:t>
      </w:r>
      <w:r w:rsidR="009567FA" w:rsidRPr="009567FA">
        <w:rPr>
          <w:b/>
        </w:rPr>
        <w:t>429,5</w:t>
      </w:r>
      <w:r w:rsidR="009567FA">
        <w:rPr>
          <w:b/>
        </w:rPr>
        <w:t xml:space="preserve"> </w:t>
      </w:r>
      <w:r w:rsidR="0059040C">
        <w:rPr>
          <w:b/>
        </w:rPr>
        <w:t>PLN</w:t>
      </w:r>
    </w:p>
    <w:p w:rsidR="00E55CA2" w:rsidRDefault="0056579D" w:rsidP="00E55CA2">
      <w:pPr>
        <w:autoSpaceDE w:val="0"/>
        <w:autoSpaceDN w:val="0"/>
        <w:adjustRightInd w:val="0"/>
        <w:spacing w:after="0" w:line="240" w:lineRule="auto"/>
      </w:pPr>
      <w:r>
        <w:rPr>
          <w:b/>
        </w:rPr>
        <w:t>Krótki opis:</w:t>
      </w:r>
      <w:r w:rsidR="00E55CA2">
        <w:t xml:space="preserve"> </w:t>
      </w:r>
      <w:r w:rsidR="00E55CA2" w:rsidRPr="00E55CA2">
        <w:t>Zakres projektu obejmuje rozbudowę i modernizację oczyszczalni ścieków w Łasku oraz budowę i modernizację kanalizacji sanitarnej. W ramach zadania dot. oczyszczalni ścieków planowane są prace na bloku mechanicznym, biologiczno-chemicznym, gospodarki osadowej i przetwarzania osadów. Dzięki temu nastąpi: - poprawa jakości ścieków oczyszczonych z niespełniających wymagań Dyrektywy 91/271/EWG i rozporządzenia Ministra Środowiska z dnia 18.11.2014 r. na jakość spełniającą ww. wymagania, - zwiększenie przepustowości z 6000 m3/d do 8000 m3/d, - poprawa gospodarki osadowej, - wykorzystanie OZE (odzy</w:t>
      </w:r>
      <w:r w:rsidR="00E55CA2">
        <w:t>sk biogazu, suszarnia solarna).</w:t>
      </w:r>
    </w:p>
    <w:p w:rsidR="00E55CA2" w:rsidRDefault="00E55CA2" w:rsidP="00E55CA2">
      <w:pPr>
        <w:autoSpaceDE w:val="0"/>
        <w:autoSpaceDN w:val="0"/>
        <w:adjustRightInd w:val="0"/>
        <w:spacing w:after="0" w:line="240" w:lineRule="auto"/>
      </w:pPr>
      <w:r w:rsidRPr="00E55CA2">
        <w:t xml:space="preserve">W ramach zadań dot. kanalizacji sanitarnej wybudowanych zostanie 11,66 km i wyremontowanych 7,11 km kanałów, co pozwoli podłączyć 939 nowych użytkowników oraz zlikwidować zagrożenia związane z eksploatacją zużytych odcinków rur. Stopień skanalizowania aglomeracji wzrośnie z 94,94 % do 98,97 %. Wskaźniki produktu: Liczba przebudowanych oczyszczalni ścieków komunalnych - 1 </w:t>
      </w:r>
      <w:proofErr w:type="spellStart"/>
      <w:r w:rsidRPr="00E55CA2">
        <w:t>szt</w:t>
      </w:r>
      <w:proofErr w:type="spellEnd"/>
      <w:r w:rsidRPr="00E55CA2">
        <w:t>; Długość wybudowanej kanalizacji sanitarnej - 11,66 km; Długość wyremontowanej kanalizacji sanitarnej - 7,11 km,; Liczba ocz. ścieków kom. wspartych wz. przeróbki / zagospodarowania osadów ściekowych - 1 szt.; Liczba instalacji do wytwarzania biogazu z osadów ściekowych - 1 szt.; Długość sieci kanalizacji sanitarnej w województwie łódzkim - 18,77 km; Wskaźniki rezultatu bezpośredniego: Liczba dodatkowych osób korzystających z ulepszonego oczyszczania ścieków - 939 RLM; Liczba nowych użytkowników sieci kanalizacyjnej, którzy przyłączyli się do sieci w wyniku realizacji projektu - 939 RLM; Ilość suchej masy komunalnych osadów ściekowych poddawanych procesom przetwarzania - 0,80 tys. Mg/rok; Wielkość ładunku ścieków poddanych ulepszonemu oczyszczaniu - 23 047 RLM</w:t>
      </w:r>
    </w:p>
    <w:p w:rsidR="00A0178C" w:rsidRDefault="004F08E8" w:rsidP="00A0178C">
      <w:r>
        <w:t>.</w:t>
      </w:r>
    </w:p>
    <w:p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8"/>
        <w:gridCol w:w="1591"/>
        <w:gridCol w:w="3402"/>
        <w:gridCol w:w="1647"/>
        <w:gridCol w:w="5387"/>
      </w:tblGrid>
      <w:tr w:rsidR="006D6EC3" w:rsidTr="00CC643A">
        <w:tc>
          <w:tcPr>
            <w:tcW w:w="13975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C643A">
        <w:tc>
          <w:tcPr>
            <w:tcW w:w="194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9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40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64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387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</w:t>
            </w:r>
            <w:r w:rsidRPr="00F928E8">
              <w:rPr>
                <w:sz w:val="20"/>
                <w:szCs w:val="20"/>
              </w:rPr>
              <w:lastRenderedPageBreak/>
              <w:t>temperatury powietrza (np. dłuższe okresy oscylowania temperatury w okolicach O st. C) i związane z nimi niekorzystne zjawiska (np. oblodzenie).</w:t>
            </w:r>
          </w:p>
        </w:tc>
        <w:tc>
          <w:tcPr>
            <w:tcW w:w="1591" w:type="dxa"/>
          </w:tcPr>
          <w:p w:rsidR="006D6EC3" w:rsidRPr="00F928E8" w:rsidRDefault="00D6105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402" w:type="dxa"/>
          </w:tcPr>
          <w:p w:rsidR="006D6EC3" w:rsidRPr="00F928E8" w:rsidRDefault="006D6EC3" w:rsidP="0059040C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604C64" w:rsidRPr="00604C64" w:rsidRDefault="00604C64" w:rsidP="00D6105C">
            <w:pPr>
              <w:pStyle w:val="Akapitzlist"/>
              <w:ind w:left="231"/>
              <w:rPr>
                <w:sz w:val="20"/>
                <w:szCs w:val="20"/>
              </w:rPr>
            </w:pP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04299F" w:rsidP="00D45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wzrost temperatury </w:t>
            </w:r>
          </w:p>
        </w:tc>
        <w:tc>
          <w:tcPr>
            <w:tcW w:w="1647" w:type="dxa"/>
          </w:tcPr>
          <w:p w:rsidR="006D6EC3" w:rsidRPr="00F928E8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Umiarkowane / niskie ryzyko</w:t>
            </w:r>
          </w:p>
        </w:tc>
        <w:tc>
          <w:tcPr>
            <w:tcW w:w="5387" w:type="dxa"/>
          </w:tcPr>
          <w:p w:rsidR="00DF473C" w:rsidRPr="00DF473C" w:rsidRDefault="00DF473C" w:rsidP="00DF473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3" w:hanging="203"/>
              <w:rPr>
                <w:rFonts w:eastAsia="BookmanOldStyle" w:cs="BookmanOldStyle"/>
                <w:sz w:val="20"/>
                <w:szCs w:val="20"/>
              </w:rPr>
            </w:pPr>
            <w:r w:rsidRPr="00DF473C">
              <w:rPr>
                <w:sz w:val="20"/>
                <w:szCs w:val="20"/>
              </w:rPr>
              <w:t xml:space="preserve">zastosowanie materiałów budowlanych odpornych na </w:t>
            </w:r>
            <w:r w:rsidRPr="00DF473C">
              <w:rPr>
                <w:rFonts w:eastAsia="BookmanOldStyle" w:cs="BookmanOldStyle"/>
                <w:sz w:val="20"/>
                <w:szCs w:val="20"/>
              </w:rPr>
              <w:t>wysokie temperatury oraz izolacji (zachowanie pożądanej temperatury urządzeń i elementów obiektu, niezależnie od warunków zewnętrznych)</w:t>
            </w:r>
          </w:p>
          <w:p w:rsidR="00DF473C" w:rsidRPr="00DF473C" w:rsidRDefault="00DF473C" w:rsidP="00DF473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01"/>
              <w:rPr>
                <w:rFonts w:eastAsia="BookmanOldStyle" w:cs="BookmanOldStyle"/>
                <w:sz w:val="20"/>
                <w:szCs w:val="20"/>
              </w:rPr>
            </w:pPr>
            <w:r w:rsidRPr="00DF473C">
              <w:rPr>
                <w:sz w:val="20"/>
                <w:szCs w:val="20"/>
              </w:rPr>
              <w:t xml:space="preserve">zamontowanie dodatkowych dmuchaw dla </w:t>
            </w:r>
            <w:r w:rsidRPr="00DF473C">
              <w:rPr>
                <w:rFonts w:eastAsia="BookmanOldStyle" w:cs="BookmanOldStyle"/>
                <w:sz w:val="20"/>
                <w:szCs w:val="20"/>
              </w:rPr>
              <w:t>zapewnienia</w:t>
            </w:r>
          </w:p>
          <w:p w:rsidR="00DF473C" w:rsidRPr="00DF473C" w:rsidRDefault="00DF473C" w:rsidP="00DF473C">
            <w:pPr>
              <w:autoSpaceDE w:val="0"/>
              <w:autoSpaceDN w:val="0"/>
              <w:adjustRightInd w:val="0"/>
              <w:rPr>
                <w:rFonts w:eastAsia="BookmanOldStyle" w:cs="BookmanOldStyle"/>
                <w:sz w:val="20"/>
                <w:szCs w:val="20"/>
              </w:rPr>
            </w:pPr>
            <w:r w:rsidRPr="00DF473C">
              <w:rPr>
                <w:rFonts w:eastAsia="BookmanOldStyle" w:cs="BookmanOldStyle"/>
                <w:sz w:val="20"/>
                <w:szCs w:val="20"/>
              </w:rPr>
              <w:t>wymaganej ilości powietrza dla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napowietrzania komó</w:t>
            </w:r>
            <w:r w:rsidRPr="00DF473C">
              <w:rPr>
                <w:rFonts w:eastAsia="BookmanOldStyle" w:cs="BookmanOldStyle"/>
                <w:sz w:val="20"/>
                <w:szCs w:val="20"/>
              </w:rPr>
              <w:t>r biologicznych</w:t>
            </w:r>
          </w:p>
          <w:p w:rsidR="0004299F" w:rsidRPr="0004299F" w:rsidRDefault="00DF473C" w:rsidP="00DF473C">
            <w:pPr>
              <w:pStyle w:val="Akapitzlist"/>
              <w:numPr>
                <w:ilvl w:val="0"/>
                <w:numId w:val="11"/>
              </w:numPr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zastosowanie odpowiedniego cyklu wymiany powietrza dla wentylacji grawitacyjnej w przepompowniach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91" w:type="dxa"/>
          </w:tcPr>
          <w:p w:rsidR="006D6EC3" w:rsidRPr="00F928E8" w:rsidRDefault="00D45C3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DF473C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uwzględniono</w:t>
            </w:r>
          </w:p>
          <w:p w:rsidR="006D6EC3" w:rsidRPr="00DF473C" w:rsidRDefault="00DF473C" w:rsidP="006D6EC3">
            <w:pPr>
              <w:rPr>
                <w:i/>
                <w:sz w:val="20"/>
                <w:szCs w:val="20"/>
              </w:rPr>
            </w:pPr>
            <w:r w:rsidRPr="00DF473C">
              <w:rPr>
                <w:i/>
                <w:sz w:val="20"/>
                <w:szCs w:val="20"/>
              </w:rPr>
              <w:t xml:space="preserve">(aczkolwiek </w:t>
            </w:r>
            <w:r w:rsidR="00D45C33" w:rsidRPr="00DF473C">
              <w:rPr>
                <w:i/>
                <w:sz w:val="20"/>
                <w:szCs w:val="20"/>
              </w:rPr>
              <w:t>zmniejszenie przepływów w ciekach, deficyty wody</w:t>
            </w:r>
            <w:r w:rsidRPr="00DF473C">
              <w:rPr>
                <w:i/>
                <w:sz w:val="20"/>
                <w:szCs w:val="20"/>
              </w:rPr>
              <w:t xml:space="preserve"> mogą stać się czynnikiem ryzyka)</w:t>
            </w: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04299F" w:rsidRPr="00DC0BC9" w:rsidRDefault="00DC0BC9" w:rsidP="00DC0BC9">
            <w:pPr>
              <w:autoSpaceDE w:val="0"/>
              <w:autoSpaceDN w:val="0"/>
              <w:adjustRightInd w:val="0"/>
              <w:rPr>
                <w:rFonts w:eastAsia="BookmanOldStyle" w:cs="BookmanOldStyle"/>
                <w:sz w:val="20"/>
                <w:szCs w:val="20"/>
              </w:rPr>
            </w:pPr>
            <w:r w:rsidRPr="00DC0BC9">
              <w:rPr>
                <w:rFonts w:eastAsia="BookmanOldStyle" w:cs="BookmanOldStyle"/>
                <w:sz w:val="20"/>
                <w:szCs w:val="20"/>
              </w:rPr>
              <w:t>.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A12FAD" w:rsidP="00062CE1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powódź, intensywne lub długotrwałe opady</w:t>
            </w:r>
          </w:p>
        </w:tc>
        <w:tc>
          <w:tcPr>
            <w:tcW w:w="1647" w:type="dxa"/>
          </w:tcPr>
          <w:p w:rsidR="006D6EC3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Powódź - ryzyko określono jako niskie</w:t>
            </w:r>
            <w:r w:rsidR="0004299F">
              <w:rPr>
                <w:sz w:val="20"/>
                <w:szCs w:val="20"/>
              </w:rPr>
              <w:t>;</w:t>
            </w:r>
          </w:p>
          <w:p w:rsidR="0004299F" w:rsidRPr="00F928E8" w:rsidRDefault="0004299F" w:rsidP="00DF473C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intensywne lub długotrwałe opady</w:t>
            </w:r>
            <w:r>
              <w:rPr>
                <w:sz w:val="20"/>
                <w:szCs w:val="20"/>
              </w:rPr>
              <w:t xml:space="preserve"> - </w:t>
            </w:r>
            <w:r w:rsidR="00DF473C">
              <w:rPr>
                <w:sz w:val="20"/>
                <w:szCs w:val="20"/>
              </w:rPr>
              <w:t>umiarkowane / niskie ryzyko</w:t>
            </w:r>
          </w:p>
        </w:tc>
        <w:tc>
          <w:tcPr>
            <w:tcW w:w="5387" w:type="dxa"/>
          </w:tcPr>
          <w:p w:rsidR="00DC0BC9" w:rsidRPr="00DC0BC9" w:rsidRDefault="00DC0BC9" w:rsidP="00DC0BC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 w:rsidRPr="00DC0BC9">
              <w:rPr>
                <w:rFonts w:eastAsia="BookmanOldStyle" w:cs="BookmanOldStyle"/>
                <w:sz w:val="20"/>
                <w:szCs w:val="20"/>
              </w:rPr>
              <w:t>Przed w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ybudowaniem oczyszczalni 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podnies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iono poziom gruntu o 2 metry, w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 xml:space="preserve">związku z czym obecnie 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obiekt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nie znajduje się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na obszarze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zagrożenia powodziowego</w:t>
            </w:r>
            <w:r>
              <w:rPr>
                <w:sz w:val="20"/>
                <w:szCs w:val="20"/>
              </w:rPr>
              <w:t>,</w:t>
            </w:r>
          </w:p>
          <w:p w:rsidR="00DC0BC9" w:rsidRPr="00DC0BC9" w:rsidRDefault="00DC0BC9" w:rsidP="00DC0BC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 w:rsidRPr="00DC0BC9">
              <w:rPr>
                <w:rFonts w:eastAsia="BookmanOldStyle" w:cs="BookmanOldStyle"/>
                <w:sz w:val="20"/>
                <w:szCs w:val="20"/>
              </w:rPr>
              <w:t>Lokalizacja sieci kanalizacji poza obszarami zagrożenia powodziowego</w:t>
            </w:r>
            <w:r>
              <w:rPr>
                <w:rFonts w:eastAsia="BookmanOldStyle" w:cs="BookmanOldStyle"/>
                <w:sz w:val="20"/>
                <w:szCs w:val="20"/>
              </w:rPr>
              <w:t>,</w:t>
            </w:r>
          </w:p>
          <w:p w:rsidR="00DC0BC9" w:rsidRPr="00DC0BC9" w:rsidRDefault="00DC0BC9" w:rsidP="00DC0BC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 w:rsidRPr="00DC0BC9">
              <w:rPr>
                <w:rFonts w:eastAsia="BookmanOldStyle" w:cs="BookmanOldStyle"/>
                <w:sz w:val="20"/>
                <w:szCs w:val="20"/>
              </w:rPr>
              <w:t>Zapewnienie szczelności obiektów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technologicznych, zastosowanie szczelnych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konstrukcji zbiorników i komór gdzie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prowadzone będą procesy oczyszczania</w:t>
            </w:r>
            <w:r>
              <w:rPr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ścieków i przeróbki osadów ściekowych</w:t>
            </w:r>
          </w:p>
          <w:p w:rsidR="00DC0BC9" w:rsidRPr="00DC0BC9" w:rsidRDefault="00DC0BC9" w:rsidP="00DC0BC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 w:rsidRPr="00DC0BC9">
              <w:rPr>
                <w:rFonts w:eastAsia="BookmanOldStyle" w:cs="BookmanOldStyle"/>
                <w:sz w:val="20"/>
                <w:szCs w:val="20"/>
              </w:rPr>
              <w:lastRenderedPageBreak/>
              <w:t>Zapewnienie szczelności układów sieci i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rurociągów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.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Zastosowanie szczelnych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studzienek rewizyjnych (wykonane z betonu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hydrotechnicznego z domieszkami</w:t>
            </w:r>
            <w:r>
              <w:rPr>
                <w:sz w:val="20"/>
                <w:szCs w:val="20"/>
              </w:rPr>
              <w:t xml:space="preserve"> </w:t>
            </w:r>
            <w:r w:rsidRPr="00DC0BC9">
              <w:rPr>
                <w:rFonts w:eastAsia="BookmanOldStyle" w:cs="BookmanOldStyle"/>
                <w:sz w:val="20"/>
                <w:szCs w:val="20"/>
              </w:rPr>
              <w:t>uszczelniają</w:t>
            </w:r>
            <w:r>
              <w:rPr>
                <w:rFonts w:eastAsia="BookmanOldStyle" w:cs="BookmanOldStyle"/>
                <w:sz w:val="20"/>
                <w:szCs w:val="20"/>
              </w:rPr>
              <w:t>cymi),</w:t>
            </w:r>
          </w:p>
          <w:p w:rsidR="00CA630C" w:rsidRPr="00DD0CC0" w:rsidRDefault="00DC0BC9" w:rsidP="00DD0CC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>
              <w:rPr>
                <w:rFonts w:eastAsia="BookmanOldStyle" w:cs="BookmanOldStyle"/>
                <w:sz w:val="20"/>
                <w:szCs w:val="20"/>
              </w:rPr>
              <w:t>zainstalowanie pompy rezerwowej w każdej przepompowni  ścieków,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Wzrost maksymalnej prędkość wiatru i związane z nimi zjawiska (np. wichury)</w:t>
            </w:r>
          </w:p>
        </w:tc>
        <w:tc>
          <w:tcPr>
            <w:tcW w:w="1591" w:type="dxa"/>
          </w:tcPr>
          <w:p w:rsidR="006D6EC3" w:rsidRPr="00F928E8" w:rsidRDefault="00062CE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12FAD">
              <w:rPr>
                <w:sz w:val="20"/>
                <w:szCs w:val="20"/>
              </w:rPr>
              <w:t>urze, silny</w:t>
            </w:r>
            <w:r w:rsidR="00062CE1" w:rsidRPr="00062CE1">
              <w:rPr>
                <w:sz w:val="20"/>
                <w:szCs w:val="20"/>
              </w:rPr>
              <w:t xml:space="preserve"> wiatr</w:t>
            </w:r>
          </w:p>
        </w:tc>
        <w:tc>
          <w:tcPr>
            <w:tcW w:w="1647" w:type="dxa"/>
          </w:tcPr>
          <w:p w:rsidR="006D6EC3" w:rsidRPr="00F928E8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Umiarkowane / niskie ryzyko</w:t>
            </w:r>
          </w:p>
        </w:tc>
        <w:tc>
          <w:tcPr>
            <w:tcW w:w="5387" w:type="dxa"/>
          </w:tcPr>
          <w:p w:rsidR="005A1CBC" w:rsidRPr="005A1CBC" w:rsidRDefault="00501740" w:rsidP="005A1CBC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9354FA">
              <w:rPr>
                <w:rFonts w:eastAsia="BookmanOldStyle" w:cs="BookmanOldStyle"/>
                <w:sz w:val="20"/>
                <w:szCs w:val="20"/>
              </w:rPr>
              <w:t>Zastosowanie energooszczędnych urządzeń,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>wyposażonych w falowniki pozwalające na dostosowanie poboru mocy do ich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>aktualnego zapotrzebowania, a tym samym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>odpowiednią reakcję na uszkodzenia i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>aktualne możliwości robocze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>infrastruktury.</w:t>
            </w:r>
          </w:p>
          <w:p w:rsidR="005A1CBC" w:rsidRPr="005A1CBC" w:rsidRDefault="005A1CBC" w:rsidP="005A1CBC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5A1CBC">
              <w:rPr>
                <w:rFonts w:eastAsia="BookmanOldStyle" w:cs="BookmanOldStyle"/>
                <w:sz w:val="20"/>
                <w:szCs w:val="20"/>
              </w:rPr>
              <w:t>zainstalowanie rozdzielnic zasilających wyposażonych w aparaturę łączeniową i zabezpieczającą od przeciążeń i zwarć</w:t>
            </w:r>
          </w:p>
          <w:p w:rsidR="005A1CBC" w:rsidRPr="005A1CBC" w:rsidRDefault="005A1CBC" w:rsidP="005A1CBC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9354FA">
              <w:rPr>
                <w:rFonts w:eastAsia="BookmanOldStyle" w:cs="BookmanOldStyle"/>
                <w:sz w:val="20"/>
                <w:szCs w:val="20"/>
              </w:rPr>
              <w:t xml:space="preserve">uziemienie ochronne </w:t>
            </w:r>
            <w:r>
              <w:rPr>
                <w:rFonts w:eastAsia="BookmanOldStyle" w:cs="BookmanOldStyle"/>
                <w:sz w:val="20"/>
                <w:szCs w:val="20"/>
              </w:rPr>
              <w:t>stacji transformatorowej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(oraz uziemienie 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>robocze podłączone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354FA">
              <w:rPr>
                <w:rFonts w:eastAsia="BookmanOldStyle" w:cs="BookmanOldStyle"/>
                <w:sz w:val="20"/>
                <w:szCs w:val="20"/>
              </w:rPr>
              <w:t>do wspólnego uziomu na zewną</w:t>
            </w:r>
            <w:r>
              <w:rPr>
                <w:rFonts w:eastAsia="BookmanOldStyle" w:cs="BookmanOldStyle"/>
                <w:sz w:val="20"/>
                <w:szCs w:val="20"/>
              </w:rPr>
              <w:t>trz stacji),</w:t>
            </w:r>
          </w:p>
          <w:p w:rsidR="00A12FAD" w:rsidRPr="005A1CBC" w:rsidRDefault="005A1CBC" w:rsidP="005A1CBC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5A1CBC">
              <w:rPr>
                <w:rFonts w:eastAsia="BookmanOldStyle" w:cs="BookmanOldStyle"/>
                <w:sz w:val="20"/>
                <w:szCs w:val="20"/>
              </w:rPr>
              <w:t>Projektowane i modernizowane obiekty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5A1CBC">
              <w:rPr>
                <w:rFonts w:eastAsia="BookmanOldStyle" w:cs="BookmanOldStyle"/>
                <w:sz w:val="20"/>
                <w:szCs w:val="20"/>
              </w:rPr>
              <w:t>zostaną wyposażone w instalację ochrony</w:t>
            </w:r>
            <w:r>
              <w:rPr>
                <w:sz w:val="20"/>
                <w:szCs w:val="20"/>
              </w:rPr>
              <w:t xml:space="preserve"> </w:t>
            </w:r>
            <w:r w:rsidRPr="005A1CBC">
              <w:rPr>
                <w:rFonts w:eastAsia="BookmanOldStyle" w:cs="BookmanOldStyle"/>
                <w:sz w:val="20"/>
                <w:szCs w:val="20"/>
              </w:rPr>
              <w:t>odgromowej</w:t>
            </w:r>
            <w:r w:rsidR="00A12FAD" w:rsidRPr="005A1CBC">
              <w:rPr>
                <w:sz w:val="20"/>
                <w:szCs w:val="20"/>
              </w:rPr>
              <w:t>;</w:t>
            </w:r>
          </w:p>
          <w:p w:rsidR="00436F2A" w:rsidRPr="00436F2A" w:rsidRDefault="00DD0CC0" w:rsidP="00436F2A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9A4E43">
              <w:rPr>
                <w:rFonts w:eastAsia="BookmanOldStyle" w:cs="BookmanOldStyle"/>
                <w:sz w:val="20"/>
                <w:szCs w:val="20"/>
              </w:rPr>
              <w:t xml:space="preserve">Pompownie 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ścieków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zostaną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wyposażone w wyłącznik silnikowy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(zabezpieczenie przed zwarciem i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przeciążeniem). Układ sygnalizacyjny pracy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pomp będzie przesyłał informacje do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centrum zarządzania m.in. odnośnie awarii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urządzeń czy braku zasilania</w:t>
            </w:r>
          </w:p>
          <w:p w:rsidR="00436F2A" w:rsidRPr="007425E1" w:rsidRDefault="00436F2A" w:rsidP="00436F2A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436F2A">
              <w:rPr>
                <w:rFonts w:eastAsia="BookmanOldStyle" w:cs="BookmanOldStyle"/>
                <w:sz w:val="20"/>
                <w:szCs w:val="20"/>
              </w:rPr>
              <w:t>Właściwa stabilizacja i wzmocnienie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436F2A">
              <w:rPr>
                <w:rFonts w:eastAsia="BookmanOldStyle" w:cs="BookmanOldStyle"/>
                <w:sz w:val="20"/>
                <w:szCs w:val="20"/>
              </w:rPr>
              <w:t>konstrukcji oraz jej poszczególnych elementów</w:t>
            </w:r>
          </w:p>
          <w:p w:rsidR="007425E1" w:rsidRPr="007425E1" w:rsidRDefault="007425E1" w:rsidP="007425E1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>
              <w:rPr>
                <w:rFonts w:eastAsia="BookmanOldStyle" w:cs="BookmanOldStyle"/>
                <w:sz w:val="20"/>
                <w:szCs w:val="20"/>
              </w:rPr>
              <w:t>zasilania rezerwowe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>
              <w:rPr>
                <w:rFonts w:eastAsia="BookmanOldStyle" w:cs="BookmanOldStyle"/>
                <w:sz w:val="20"/>
                <w:szCs w:val="20"/>
              </w:rPr>
              <w:t>(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agregat prą</w:t>
            </w:r>
            <w:r>
              <w:rPr>
                <w:rFonts w:eastAsia="BookmanOldStyle" w:cs="BookmanOldStyle"/>
                <w:sz w:val="20"/>
                <w:szCs w:val="20"/>
              </w:rPr>
              <w:t>dotwó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rczy o mocy 440kW</w:t>
            </w:r>
            <w:r>
              <w:rPr>
                <w:rFonts w:eastAsia="BookmanOldStyle" w:cs="BookmanOldStyle"/>
                <w:sz w:val="20"/>
                <w:szCs w:val="20"/>
              </w:rPr>
              <w:t>)</w:t>
            </w:r>
          </w:p>
          <w:p w:rsidR="007425E1" w:rsidRPr="00604C64" w:rsidRDefault="007425E1" w:rsidP="007425E1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>
              <w:rPr>
                <w:rFonts w:eastAsia="BookmanOldStyle" w:cs="BookmanOldStyle"/>
                <w:sz w:val="20"/>
                <w:szCs w:val="20"/>
              </w:rPr>
              <w:t>wyposażenie każdej szafy sterowniczej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 xml:space="preserve"> w ukł</w:t>
            </w:r>
            <w:r>
              <w:rPr>
                <w:rFonts w:eastAsia="BookmanOldStyle" w:cs="BookmanOldStyle"/>
                <w:sz w:val="20"/>
                <w:szCs w:val="20"/>
              </w:rPr>
              <w:t>ad podtrzymania UPS (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>podtrzymanie pracy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 </w:t>
            </w:r>
            <w:r w:rsidRPr="009A4E43">
              <w:rPr>
                <w:rFonts w:eastAsia="BookmanOldStyle" w:cs="BookmanOldStyle"/>
                <w:sz w:val="20"/>
                <w:szCs w:val="20"/>
              </w:rPr>
              <w:t xml:space="preserve">sterownika i urządzeń </w:t>
            </w:r>
            <w:proofErr w:type="spellStart"/>
            <w:r w:rsidRPr="009A4E43">
              <w:rPr>
                <w:rFonts w:eastAsia="BookmanOldStyle" w:cs="BookmanOldStyle"/>
                <w:sz w:val="20"/>
                <w:szCs w:val="20"/>
              </w:rPr>
              <w:t>AKP</w:t>
            </w:r>
            <w:r>
              <w:rPr>
                <w:rFonts w:eastAsia="BookmanOldStyle" w:cs="BookmanOldStyle"/>
                <w:sz w:val="20"/>
                <w:szCs w:val="20"/>
              </w:rPr>
              <w:t>iA</w:t>
            </w:r>
            <w:proofErr w:type="spellEnd"/>
            <w:r>
              <w:rPr>
                <w:rFonts w:eastAsia="BookmanOldStyle" w:cs="BookmanOldStyle"/>
                <w:sz w:val="20"/>
                <w:szCs w:val="20"/>
              </w:rPr>
              <w:t>)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D45C3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1591" w:type="dxa"/>
          </w:tcPr>
          <w:p w:rsidR="006D6EC3" w:rsidRPr="00F928E8" w:rsidRDefault="00D45C3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04299F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387" w:type="dxa"/>
          </w:tcPr>
          <w:p w:rsidR="00CA630C" w:rsidRPr="00A9785B" w:rsidRDefault="00CA630C" w:rsidP="00D45C33">
            <w:pPr>
              <w:pStyle w:val="Akapitzlist"/>
              <w:autoSpaceDE w:val="0"/>
              <w:autoSpaceDN w:val="0"/>
              <w:adjustRightInd w:val="0"/>
              <w:ind w:left="23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E8" w:rsidTr="006C44ED">
        <w:tc>
          <w:tcPr>
            <w:tcW w:w="6941" w:type="dxa"/>
            <w:gridSpan w:val="3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647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lastRenderedPageBreak/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>PODEJŚCIE METODOLOGICZNE?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647" w:type="dxa"/>
          </w:tcPr>
          <w:p w:rsidR="00F928E8" w:rsidRDefault="00F928E8" w:rsidP="006D6EC3">
            <w:r>
              <w:t>TAK</w:t>
            </w:r>
          </w:p>
        </w:tc>
        <w:tc>
          <w:tcPr>
            <w:tcW w:w="5387" w:type="dxa"/>
          </w:tcPr>
          <w:p w:rsidR="00F928E8" w:rsidRPr="007923D6" w:rsidRDefault="007923D6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7923D6">
              <w:rPr>
                <w:rFonts w:cs="Times New Roman"/>
              </w:rPr>
              <w:t>Przeprowadzono analiz</w:t>
            </w:r>
            <w:r w:rsidRPr="007923D6">
              <w:rPr>
                <w:rFonts w:eastAsia="TimesNewRoman" w:cs="TimesNewRoman"/>
              </w:rPr>
              <w:t xml:space="preserve">ę </w:t>
            </w:r>
            <w:r w:rsidRPr="007923D6">
              <w:rPr>
                <w:rFonts w:cs="Times New Roman"/>
              </w:rPr>
              <w:t>ryzyka zwi</w:t>
            </w:r>
            <w:r w:rsidRPr="007923D6">
              <w:rPr>
                <w:rFonts w:eastAsia="TimesNewRoman" w:cs="TimesNewRoman"/>
              </w:rPr>
              <w:t>ą</w:t>
            </w:r>
            <w:r w:rsidRPr="007923D6">
              <w:rPr>
                <w:rFonts w:cs="Times New Roman"/>
              </w:rPr>
              <w:t>zanego z klimatem zgodnie z „Poradnikiem Przygotowania Inwestycji z uwzgl</w:t>
            </w:r>
            <w:r w:rsidRPr="007923D6">
              <w:rPr>
                <w:rFonts w:eastAsia="TimesNewRoman" w:cs="TimesNewRoman"/>
              </w:rPr>
              <w:t>ę</w:t>
            </w:r>
            <w:r w:rsidRPr="007923D6">
              <w:rPr>
                <w:rFonts w:cs="Times New Roman"/>
              </w:rPr>
              <w:t>dnieniem zmian klimatu, ich łagodzenia i przystosowania do tych zmian oraz odporno</w:t>
            </w:r>
            <w:r w:rsidRPr="007923D6">
              <w:rPr>
                <w:rFonts w:eastAsia="TimesNewRoman" w:cs="TimesNewRoman"/>
              </w:rPr>
              <w:t>ś</w:t>
            </w:r>
            <w:r w:rsidRPr="007923D6">
              <w:rPr>
                <w:rFonts w:cs="Times New Roman"/>
              </w:rPr>
              <w:t>ci na kl</w:t>
            </w:r>
            <w:r w:rsidRPr="007923D6">
              <w:rPr>
                <w:rFonts w:eastAsia="TimesNewRoman" w:cs="TimesNewRoman"/>
              </w:rPr>
              <w:t>ę</w:t>
            </w:r>
            <w:r w:rsidRPr="007923D6">
              <w:rPr>
                <w:rFonts w:cs="Times New Roman"/>
              </w:rPr>
              <w:t xml:space="preserve">ski </w:t>
            </w:r>
            <w:r w:rsidRPr="007923D6">
              <w:rPr>
                <w:rFonts w:eastAsia="TimesNewRoman" w:cs="TimesNewRoman"/>
              </w:rPr>
              <w:t>ż</w:t>
            </w:r>
            <w:r w:rsidRPr="007923D6">
              <w:rPr>
                <w:rFonts w:cs="Times New Roman"/>
              </w:rPr>
              <w:t>ywiołowe”.</w:t>
            </w:r>
            <w:r w:rsidR="00D856BA">
              <w:rPr>
                <w:rFonts w:cs="Times New Roman"/>
              </w:rPr>
              <w:t xml:space="preserve"> Wybór czynników ryzyka (aktualne zagrożenia klimatyczne) - na podstawie opracowania własnego (nie podano źródeł / podejścia metodycznego)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230E7E">
            <w:r>
              <w:t>Przyszłe zagrożenia klimatyczne</w:t>
            </w:r>
          </w:p>
        </w:tc>
        <w:tc>
          <w:tcPr>
            <w:tcW w:w="1647" w:type="dxa"/>
          </w:tcPr>
          <w:p w:rsidR="00F928E8" w:rsidRDefault="006C44ED" w:rsidP="00230E7E">
            <w:r>
              <w:t>TAK</w:t>
            </w:r>
          </w:p>
        </w:tc>
        <w:tc>
          <w:tcPr>
            <w:tcW w:w="5387" w:type="dxa"/>
          </w:tcPr>
          <w:p w:rsidR="000A33F8" w:rsidRPr="00D856BA" w:rsidRDefault="0048086C" w:rsidP="00201D77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t xml:space="preserve">W </w:t>
            </w:r>
            <w:r w:rsidR="00A0291F">
              <w:t>SW</w:t>
            </w:r>
            <w:r>
              <w:t xml:space="preserve"> odwołano się do</w:t>
            </w:r>
            <w:r w:rsidR="00A0291F">
              <w:t xml:space="preserve"> analizy</w:t>
            </w:r>
            <w:r>
              <w:t xml:space="preserve"> trendów zmian w klimacie w Polsce do 2030 r. przedstawioną w SPA 2020 w okresie od 2010 r. do 2030 r.</w:t>
            </w:r>
            <w:r w:rsidR="00D856BA">
              <w:t xml:space="preserve"> - wyróżniono 2 trendy: wzrost temperatury (co spowoduje </w:t>
            </w:r>
            <w:r w:rsidR="00D856BA" w:rsidRPr="00D856BA">
              <w:t>przyrost liczby dni z temperatur</w:t>
            </w:r>
            <w:r w:rsidR="00D856BA" w:rsidRPr="00D856BA">
              <w:rPr>
                <w:rFonts w:hint="eastAsia"/>
              </w:rPr>
              <w:t>ą</w:t>
            </w:r>
            <w:r w:rsidR="00D856BA" w:rsidRPr="00D856BA">
              <w:t xml:space="preserve"> wi</w:t>
            </w:r>
            <w:r w:rsidR="00D856BA" w:rsidRPr="00D856BA">
              <w:rPr>
                <w:rFonts w:hint="eastAsia"/>
              </w:rPr>
              <w:t>ę</w:t>
            </w:r>
            <w:r w:rsidR="00D856BA" w:rsidRPr="00D856BA">
              <w:t>ksz</w:t>
            </w:r>
            <w:r w:rsidR="00D856BA" w:rsidRPr="00D856BA">
              <w:rPr>
                <w:rFonts w:hint="eastAsia"/>
              </w:rPr>
              <w:t>ą</w:t>
            </w:r>
            <w:r w:rsidR="00D856BA" w:rsidRPr="00D856BA">
              <w:t xml:space="preserve"> ni</w:t>
            </w:r>
            <w:r w:rsidR="00D856BA" w:rsidRPr="00D856BA">
              <w:rPr>
                <w:rFonts w:hint="eastAsia"/>
              </w:rPr>
              <w:t>ż</w:t>
            </w:r>
            <w:r w:rsidR="00D856BA" w:rsidRPr="00D856BA">
              <w:t xml:space="preserve"> 25°</w:t>
            </w:r>
            <w:r w:rsidR="00D856BA">
              <w:t xml:space="preserve">C oraz </w:t>
            </w:r>
            <w:r w:rsidR="00D856BA" w:rsidRPr="00D856BA">
              <w:rPr>
                <w:rFonts w:eastAsia="BookmanOldStyle" w:cs="BookmanOldStyle"/>
              </w:rPr>
              <w:t>spadek liczby dni z temperaturą</w:t>
            </w:r>
            <w:r w:rsidR="00D856BA">
              <w:rPr>
                <w:rFonts w:eastAsia="BookmanOldStyle" w:cs="BookmanOldStyle"/>
              </w:rPr>
              <w:t xml:space="preserve"> maksymalną</w:t>
            </w:r>
            <w:r w:rsidR="00D856BA" w:rsidRPr="00D856BA">
              <w:rPr>
                <w:rFonts w:eastAsia="BookmanOldStyle" w:cs="BookmanOldStyle"/>
              </w:rPr>
              <w:t xml:space="preserve"> mniejszą niż -10°C w odniesieniu do</w:t>
            </w:r>
            <w:r w:rsidR="00D856BA">
              <w:rPr>
                <w:rFonts w:eastAsia="BookmanOldStyle" w:cs="BookmanOldStyle"/>
              </w:rPr>
              <w:t xml:space="preserve"> </w:t>
            </w:r>
            <w:r w:rsidR="00D856BA" w:rsidRPr="00D856BA">
              <w:rPr>
                <w:rFonts w:eastAsia="BookmanOldStyle" w:cs="BookmanOldStyle"/>
              </w:rPr>
              <w:t>1971-2000</w:t>
            </w:r>
            <w:r w:rsidR="00D856BA">
              <w:rPr>
                <w:rFonts w:eastAsia="BookmanOldStyle" w:cs="BookmanOldStyle"/>
              </w:rPr>
              <w:t>)</w:t>
            </w:r>
            <w:r w:rsidR="00D856BA" w:rsidRPr="00D856BA">
              <w:t xml:space="preserve"> </w:t>
            </w:r>
            <w:r w:rsidR="00D856BA">
              <w:t>oraz wzrost opadów w okresie zimowym (co może spowodować zwiększenie prawdopodobieństwa wystąpienia powodzi błyskawicznych wywołanych silnymi opadami). Przedstawiono także mapy zagrożenia powodziowego (</w:t>
            </w:r>
            <w:proofErr w:type="spellStart"/>
            <w:r w:rsidR="00D856BA">
              <w:t>hydroportal</w:t>
            </w:r>
            <w:proofErr w:type="spellEnd"/>
            <w:r w:rsidR="00D856BA">
              <w:t>) dla obszarów inwestycji</w:t>
            </w:r>
            <w:r w:rsidR="00201D77">
              <w:t xml:space="preserve">. Odwołano się też do danych z projektu KLIMADA, zgodnie z którymi </w:t>
            </w:r>
            <w:r w:rsidR="00201D77" w:rsidRPr="00201D77">
              <w:rPr>
                <w:rFonts w:eastAsia="BookmanOldStyle" w:cs="BookmanOldStyle"/>
              </w:rPr>
              <w:t>gmina Łask znajduje się</w:t>
            </w:r>
            <w:r w:rsidR="00201D77">
              <w:rPr>
                <w:rFonts w:eastAsia="BookmanOldStyle" w:cs="BookmanOldStyle"/>
              </w:rPr>
              <w:t xml:space="preserve"> w III strefie ryzyka </w:t>
            </w:r>
            <w:r w:rsidR="00201D77" w:rsidRPr="00201D77">
              <w:rPr>
                <w:rFonts w:eastAsia="BookmanOldStyle" w:cs="BookmanOldStyle"/>
              </w:rPr>
              <w:t>wiatru o maksymalnych prędkoś</w:t>
            </w:r>
            <w:r w:rsidR="00201D77">
              <w:rPr>
                <w:rFonts w:eastAsia="BookmanOldStyle" w:cs="BookmanOldStyle"/>
              </w:rPr>
              <w:t xml:space="preserve">ciach (od 20 do 25 m/s], co </w:t>
            </w:r>
            <w:r w:rsidR="00201D77" w:rsidRPr="00201D77">
              <w:rPr>
                <w:rFonts w:eastAsia="BookmanOldStyle" w:cs="BookmanOldStyle"/>
              </w:rPr>
              <w:t>oznacza ś</w:t>
            </w:r>
            <w:r w:rsidR="00201D77">
              <w:rPr>
                <w:rFonts w:eastAsia="BookmanOldStyle" w:cs="BookmanOldStyle"/>
              </w:rPr>
              <w:t xml:space="preserve">redni poziom </w:t>
            </w:r>
            <w:r w:rsidR="00201D77" w:rsidRPr="00201D77">
              <w:rPr>
                <w:rFonts w:eastAsia="BookmanOldStyle" w:cs="BookmanOldStyle"/>
              </w:rPr>
              <w:t>zagrożenia.</w:t>
            </w:r>
          </w:p>
        </w:tc>
      </w:tr>
      <w:tr w:rsidR="00F928E8" w:rsidTr="00CC643A">
        <w:tc>
          <w:tcPr>
            <w:tcW w:w="13975" w:type="dxa"/>
            <w:gridSpan w:val="5"/>
            <w:shd w:val="clear" w:color="auto" w:fill="00B0F0"/>
          </w:tcPr>
          <w:p w:rsidR="00F928E8" w:rsidRPr="00E7407F" w:rsidRDefault="00E7407F" w:rsidP="00230E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FE5282">
              <w:rPr>
                <w:b/>
                <w:sz w:val="20"/>
                <w:szCs w:val="20"/>
              </w:rPr>
              <w:t>RADNIKA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auto"/>
          </w:tcPr>
          <w:p w:rsidR="00CC643A" w:rsidRPr="00BA7F7A" w:rsidRDefault="006F7D28" w:rsidP="00BA7F7A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cs="Times New Roman"/>
              </w:rPr>
              <w:t>P</w:t>
            </w:r>
            <w:r w:rsidRPr="009E2DB4">
              <w:rPr>
                <w:rFonts w:cs="Times New Roman"/>
              </w:rPr>
              <w:t xml:space="preserve">rzeprowadzono </w:t>
            </w:r>
            <w:r w:rsidR="004F5599">
              <w:t>ocenę podatności projektu na zmiany klimatu</w:t>
            </w:r>
            <w:r w:rsidR="004F5599" w:rsidRPr="009E2DB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(SW) </w:t>
            </w:r>
            <w:r w:rsidRPr="009E2DB4">
              <w:rPr>
                <w:rFonts w:cs="Times New Roman"/>
              </w:rPr>
              <w:t>zgodnie z „Poradnikiem</w:t>
            </w:r>
            <w:r>
              <w:rPr>
                <w:rFonts w:cs="Times New Roman"/>
              </w:rPr>
              <w:t xml:space="preserve"> p</w:t>
            </w:r>
            <w:r w:rsidRPr="009E2DB4">
              <w:rPr>
                <w:rFonts w:cs="Times New Roman"/>
              </w:rPr>
              <w:t>rzygotowania Inwestycji z uwzgl</w:t>
            </w:r>
            <w:r w:rsidRPr="009E2DB4">
              <w:rPr>
                <w:rFonts w:eastAsia="TimesNewRoman" w:cs="TimesNewRoman"/>
              </w:rPr>
              <w:t>ę</w:t>
            </w:r>
            <w:r w:rsidRPr="009E2DB4">
              <w:rPr>
                <w:rFonts w:cs="Times New Roman"/>
              </w:rPr>
              <w:t>dnieniem zmian klimatu, ich łago</w:t>
            </w:r>
            <w:r>
              <w:rPr>
                <w:rFonts w:cs="Times New Roman"/>
              </w:rPr>
              <w:t xml:space="preserve">dzenia i przystosowania do tych </w:t>
            </w:r>
            <w:r w:rsidRPr="009E2DB4">
              <w:rPr>
                <w:rFonts w:cs="Times New Roman"/>
              </w:rPr>
              <w:t>zmian oraz odporno</w:t>
            </w:r>
            <w:r w:rsidRPr="009E2DB4">
              <w:rPr>
                <w:rFonts w:eastAsia="TimesNewRoman" w:cs="TimesNewRoman"/>
              </w:rPr>
              <w:t>ś</w:t>
            </w:r>
            <w:r w:rsidRPr="009E2DB4">
              <w:rPr>
                <w:rFonts w:cs="Times New Roman"/>
              </w:rPr>
              <w:t>ci na kl</w:t>
            </w:r>
            <w:r w:rsidRPr="009E2DB4">
              <w:rPr>
                <w:rFonts w:eastAsia="TimesNewRoman" w:cs="TimesNewRoman"/>
              </w:rPr>
              <w:t>ę</w:t>
            </w:r>
            <w:r w:rsidRPr="009E2DB4">
              <w:rPr>
                <w:rFonts w:cs="Times New Roman"/>
              </w:rPr>
              <w:t xml:space="preserve">ski </w:t>
            </w:r>
            <w:r w:rsidRPr="009E2DB4">
              <w:rPr>
                <w:rFonts w:eastAsia="TimesNewRoman" w:cs="TimesNewRoman"/>
              </w:rPr>
              <w:t>ż</w:t>
            </w:r>
            <w:r w:rsidRPr="009E2DB4">
              <w:rPr>
                <w:rFonts w:cs="Times New Roman"/>
              </w:rPr>
              <w:t>ywiołowe”</w:t>
            </w:r>
            <w:r>
              <w:rPr>
                <w:rFonts w:cs="Times New Roman"/>
              </w:rPr>
              <w:t xml:space="preserve">, </w:t>
            </w:r>
            <w:r>
              <w:t>wydanym przez Ministerstwo Środowiska, Departament Zrównoważonego Rozwoju, w październiku 2015 r.</w:t>
            </w:r>
            <w:r w:rsidR="00824E30">
              <w:t xml:space="preserve"> </w:t>
            </w:r>
            <w:r w:rsidR="00824E30" w:rsidRPr="00D856BA">
              <w:rPr>
                <w:i/>
              </w:rPr>
              <w:t xml:space="preserve">(aczkolwiek w sposób uproszczony; nie analizowano np. ryzyk </w:t>
            </w:r>
            <w:r w:rsidR="005C1F1C" w:rsidRPr="00D856BA">
              <w:rPr>
                <w:i/>
              </w:rPr>
              <w:t>w kontekście kolejnych faz "życia" inwestycji</w:t>
            </w:r>
            <w:r w:rsidR="00BA7F7A">
              <w:rPr>
                <w:i/>
              </w:rPr>
              <w:t>, chociaż przedstawiono je oddzielnie dla każdego zadania w ramach projektu</w:t>
            </w:r>
            <w:r w:rsidR="005C1F1C" w:rsidRPr="00D856BA">
              <w:rPr>
                <w:i/>
              </w:rPr>
              <w:t>)</w:t>
            </w:r>
            <w:r w:rsidR="00BA7F7A">
              <w:rPr>
                <w:i/>
              </w:rPr>
              <w:t xml:space="preserve">. </w:t>
            </w:r>
            <w:r w:rsidR="00BA7F7A" w:rsidRPr="00BA7F7A">
              <w:rPr>
                <w:rFonts w:eastAsia="BookmanOldStyle" w:cs="BookmanOldStyle"/>
              </w:rPr>
              <w:t xml:space="preserve">Wnioskodawca przedstawił </w:t>
            </w:r>
            <w:r w:rsidR="00BA7F7A">
              <w:rPr>
                <w:rFonts w:eastAsia="BookmanOldStyle" w:cs="BookmanOldStyle"/>
              </w:rPr>
              <w:t xml:space="preserve">od razu </w:t>
            </w:r>
            <w:r w:rsidR="00BA7F7A" w:rsidRPr="00BA7F7A">
              <w:rPr>
                <w:rFonts w:eastAsia="BookmanOldStyle" w:cs="BookmanOldStyle"/>
              </w:rPr>
              <w:t>analizę ryzyk klimatycznych wraz z ich klasyfikacją oraz uwzględnieniem projektowanych działań zapobiegawczo-uodparniających.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00B0F0"/>
          </w:tcPr>
          <w:p w:rsidR="004002EE" w:rsidRPr="004D43D1" w:rsidRDefault="00E7407F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F928E8" w:rsidTr="00CC643A">
        <w:tc>
          <w:tcPr>
            <w:tcW w:w="13975" w:type="dxa"/>
            <w:gridSpan w:val="5"/>
          </w:tcPr>
          <w:p w:rsidR="00CC643A" w:rsidRDefault="00604C64" w:rsidP="009C4F1D">
            <w:r w:rsidRPr="003074CB">
              <w:t>D</w:t>
            </w:r>
            <w:r w:rsidR="00E7407F" w:rsidRPr="003074CB">
              <w:t xml:space="preserve">la wszystkich ryzyk </w:t>
            </w:r>
            <w:r w:rsidR="009C4F1D">
              <w:t xml:space="preserve">które zidentyfikowano </w:t>
            </w:r>
            <w:r w:rsidR="00C71CFF">
              <w:t xml:space="preserve">(wykazano dotkliwość co najwyżej na poziomie umiarkowanym) </w:t>
            </w:r>
            <w:r w:rsidR="003074CB" w:rsidRPr="003074CB">
              <w:t>wskazano</w:t>
            </w:r>
            <w:r w:rsidR="00E7407F" w:rsidRPr="003074CB">
              <w:t xml:space="preserve"> adekwatne opcje adaptacyjne</w:t>
            </w:r>
            <w:r w:rsidR="009C4F1D">
              <w:t xml:space="preserve">; </w:t>
            </w:r>
          </w:p>
          <w:p w:rsidR="009C4F1D" w:rsidRPr="00CC643A" w:rsidRDefault="009C4F1D" w:rsidP="009C4F1D">
            <w:pPr>
              <w:rPr>
                <w:i/>
              </w:rPr>
            </w:pPr>
            <w:r>
              <w:lastRenderedPageBreak/>
              <w:t xml:space="preserve">Nie wskazano ryzyka związanego ze </w:t>
            </w:r>
            <w:r w:rsidRPr="009C4F1D">
              <w:t xml:space="preserve">stopniowymi zmianami ilości opadów i związaną z nimi zmniejszającą się dostępnością wody (np. susze, deficyty wody, zmniejszenie przepływów w ciekach) - w okresie letnim może </w:t>
            </w:r>
            <w:r>
              <w:t>zaistnieć</w:t>
            </w:r>
            <w:r w:rsidRPr="009C4F1D">
              <w:t xml:space="preserve"> ryzyko </w:t>
            </w:r>
            <w:r>
              <w:t>zmniejszonych przepływów rzeki</w:t>
            </w:r>
            <w:r w:rsidR="00E24F1E">
              <w:t>,</w:t>
            </w:r>
            <w:r>
              <w:t xml:space="preserve"> do której zrzucane są oczyszczone ścieki (</w:t>
            </w:r>
            <w:r w:rsidRPr="009C4F1D">
              <w:t>w fazie eksploatacji oczyszczalni, w kontekście dopusz</w:t>
            </w:r>
            <w:r>
              <w:t xml:space="preserve">czalnych zrzutów oczyszczonych </w:t>
            </w:r>
            <w:r w:rsidRPr="009C4F1D">
              <w:t>ścieków</w:t>
            </w:r>
            <w:r>
              <w:t>)</w:t>
            </w: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lastRenderedPageBreak/>
              <w:t>ROZWIĄZANIA ZWIĄZANE Z ŁAGODZENIEM ZMIAN KLIMATU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7623D9" w:rsidRPr="000A47B7" w:rsidRDefault="007623D9" w:rsidP="007623D9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rPr>
                <w:rFonts w:eastAsia="BookmanOldStyle" w:cs="BookmanOldStyle"/>
              </w:rPr>
              <w:t>- zmiana</w:t>
            </w:r>
            <w:r w:rsidRPr="000A47B7">
              <w:rPr>
                <w:rFonts w:eastAsia="BookmanOldStyle" w:cs="BookmanOldStyle"/>
              </w:rPr>
              <w:t xml:space="preserve"> technologii przeróbki osadów</w:t>
            </w:r>
            <w:r>
              <w:rPr>
                <w:rFonts w:eastAsia="BookmanOldStyle" w:cs="BookmanOldStyle"/>
              </w:rPr>
              <w:t xml:space="preserve"> polegająca</w:t>
            </w:r>
            <w:r w:rsidRPr="000A47B7">
              <w:rPr>
                <w:rFonts w:eastAsia="BookmanOldStyle" w:cs="BookmanOldStyle"/>
              </w:rPr>
              <w:t xml:space="preserve"> na wprowadzeniu</w:t>
            </w:r>
            <w:r>
              <w:rPr>
                <w:rFonts w:eastAsia="BookmanOldStyle" w:cs="BookmanOldStyle"/>
              </w:rPr>
              <w:t xml:space="preserve"> </w:t>
            </w:r>
            <w:r w:rsidRPr="000A47B7">
              <w:rPr>
                <w:rFonts w:eastAsia="BookmanOldStyle" w:cs="BookmanOldStyle"/>
              </w:rPr>
              <w:t xml:space="preserve">metanowej fermentacji </w:t>
            </w:r>
            <w:r>
              <w:rPr>
                <w:rFonts w:eastAsia="BookmanOldStyle" w:cs="BookmanOldStyle"/>
              </w:rPr>
              <w:t>osa</w:t>
            </w:r>
            <w:r w:rsidRPr="000A47B7">
              <w:rPr>
                <w:rFonts w:eastAsia="BookmanOldStyle" w:cs="BookmanOldStyle"/>
              </w:rPr>
              <w:t>dów wstępnych i nadmiernych zamkniętych w komorze</w:t>
            </w:r>
          </w:p>
          <w:p w:rsidR="009E7D85" w:rsidRDefault="007623D9" w:rsidP="007623D9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 w:rsidRPr="000A47B7">
              <w:rPr>
                <w:rFonts w:eastAsia="BookmanOldStyle" w:cs="BookmanOldStyle"/>
              </w:rPr>
              <w:t>z odzyskaniem biogazu</w:t>
            </w:r>
            <w:r w:rsidR="00070938">
              <w:rPr>
                <w:rFonts w:eastAsia="BookmanOldStyle" w:cs="BookmanOldStyle"/>
              </w:rPr>
              <w:t xml:space="preserve"> (</w:t>
            </w:r>
            <w:r w:rsidR="00070938" w:rsidRPr="0024749C">
              <w:rPr>
                <w:rFonts w:eastAsia="BookmanOldStyle" w:cs="BookmanOldStyle"/>
              </w:rPr>
              <w:t>montaż instalacji do odzysku biogazu</w:t>
            </w:r>
            <w:r w:rsidR="00070938">
              <w:rPr>
                <w:rFonts w:eastAsia="BookmanOldStyle" w:cs="BookmanOldStyle"/>
              </w:rPr>
              <w:t>)</w:t>
            </w:r>
            <w:r w:rsidRPr="000A47B7">
              <w:rPr>
                <w:rFonts w:eastAsia="BookmanOldStyle" w:cs="BookmanOldStyle"/>
              </w:rPr>
              <w:t xml:space="preserve"> i wykorzystaniu go w procesie kogeneracji</w:t>
            </w:r>
            <w:r w:rsidR="00070938">
              <w:rPr>
                <w:rFonts w:eastAsia="BookmanOldStyle" w:cs="BookmanOldStyle"/>
              </w:rPr>
              <w:t xml:space="preserve"> - zmniejszenie</w:t>
            </w:r>
            <w:r w:rsidR="00070938" w:rsidRPr="0024749C">
              <w:rPr>
                <w:rFonts w:eastAsia="BookmanOldStyle" w:cs="BookmanOldStyle"/>
              </w:rPr>
              <w:t xml:space="preserve"> emisji gazów cieplarnianych</w:t>
            </w:r>
          </w:p>
          <w:p w:rsidR="00070938" w:rsidRDefault="00070938" w:rsidP="00070938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rPr>
                <w:rFonts w:eastAsia="BookmanOldStyle" w:cs="BookmanOldStyle"/>
              </w:rPr>
              <w:t xml:space="preserve">- </w:t>
            </w:r>
            <w:r w:rsidRPr="0024749C">
              <w:rPr>
                <w:rFonts w:eastAsia="BookmanOldStyle" w:cs="BookmanOldStyle"/>
              </w:rPr>
              <w:t>zwiększenie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 xml:space="preserve">efektywności energetycznej obiektu ze względu na </w:t>
            </w:r>
            <w:r>
              <w:rPr>
                <w:rFonts w:eastAsia="BookmanOldStyle" w:cs="BookmanOldStyle"/>
              </w:rPr>
              <w:t>wykorzystanie</w:t>
            </w:r>
            <w:r w:rsidRPr="0024749C">
              <w:rPr>
                <w:rFonts w:eastAsia="BookmanOldStyle" w:cs="BookmanOldStyle"/>
              </w:rPr>
              <w:t xml:space="preserve"> do produkcji na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>potrzeby własne energii elektrycznej i cieplnej biogazu powstającego w wyniku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 xml:space="preserve">fermentacji osadów ściekowych. </w:t>
            </w:r>
          </w:p>
          <w:p w:rsidR="004D43D1" w:rsidRPr="00053F4F" w:rsidRDefault="00070938" w:rsidP="00053F4F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rPr>
                <w:rFonts w:eastAsia="BookmanOldStyle" w:cs="BookmanOldStyle"/>
              </w:rPr>
              <w:t>- d</w:t>
            </w:r>
            <w:r w:rsidRPr="0024749C">
              <w:rPr>
                <w:rFonts w:eastAsia="BookmanOldStyle" w:cs="BookmanOldStyle"/>
              </w:rPr>
              <w:t xml:space="preserve">odatkowo </w:t>
            </w:r>
            <w:r>
              <w:rPr>
                <w:rFonts w:eastAsia="BookmanOldStyle" w:cs="BookmanOldStyle"/>
              </w:rPr>
              <w:t>- budowa</w:t>
            </w:r>
            <w:r w:rsidRPr="0024749C">
              <w:rPr>
                <w:rFonts w:eastAsia="BookmanOldStyle" w:cs="BookmanOldStyle"/>
              </w:rPr>
              <w:t xml:space="preserve"> suszarni solarnej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>wykorzystującej do procesu suszenia osadów jedynie energię słońca, dzięki czemu nie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>będzie wykorzystywana</w:t>
            </w:r>
            <w:r>
              <w:rPr>
                <w:rFonts w:eastAsia="BookmanOldStyle" w:cs="BookmanOldStyle"/>
              </w:rPr>
              <w:t xml:space="preserve"> / nastąpi zmniejszenie poboru energii</w:t>
            </w:r>
            <w:r w:rsidRPr="0024749C">
              <w:rPr>
                <w:rFonts w:eastAsia="BookmanOldStyle" w:cs="BookmanOldStyle"/>
              </w:rPr>
              <w:t xml:space="preserve"> </w:t>
            </w:r>
            <w:r>
              <w:rPr>
                <w:rFonts w:eastAsia="BookmanOldStyle" w:cs="BookmanOldStyle"/>
              </w:rPr>
              <w:t>z tradycyjnych źródeł (o</w:t>
            </w:r>
            <w:r w:rsidRPr="0024749C">
              <w:rPr>
                <w:rFonts w:eastAsia="BookmanOldStyle" w:cs="BookmanOldStyle"/>
              </w:rPr>
              <w:t>biekt będzie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>wykonany w formie szklarni zbudowanej z lekkiej konstrukcji stalowej pokrytej powłoką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 xml:space="preserve">przepuszczającą światło słoneczne, które </w:t>
            </w:r>
            <w:r>
              <w:rPr>
                <w:rFonts w:eastAsia="BookmanOldStyle" w:cs="BookmanOldStyle"/>
              </w:rPr>
              <w:t>podwyższy temperaturę</w:t>
            </w:r>
            <w:r w:rsidRPr="0024749C">
              <w:rPr>
                <w:rFonts w:eastAsia="BookmanOldStyle" w:cs="BookmanOldStyle"/>
              </w:rPr>
              <w:t xml:space="preserve"> składowanego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>wewnątrz</w:t>
            </w:r>
            <w:r>
              <w:rPr>
                <w:rFonts w:eastAsia="BookmanOldStyle" w:cs="BookmanOldStyle"/>
              </w:rPr>
              <w:t xml:space="preserve"> osadu i spowoduje </w:t>
            </w:r>
            <w:r w:rsidRPr="0024749C">
              <w:rPr>
                <w:rFonts w:eastAsia="BookmanOldStyle" w:cs="BookmanOldStyle"/>
              </w:rPr>
              <w:t>odparow</w:t>
            </w:r>
            <w:r>
              <w:rPr>
                <w:rFonts w:eastAsia="BookmanOldStyle" w:cs="BookmanOldStyle"/>
              </w:rPr>
              <w:t>anie części zawartej w nim wody).</w:t>
            </w:r>
            <w:r w:rsidR="00053F4F">
              <w:rPr>
                <w:rFonts w:eastAsia="BookmanOldStyle" w:cs="BookmanOldStyle"/>
              </w:rPr>
              <w:t xml:space="preserve"> Wykorzystanie </w:t>
            </w:r>
            <w:r w:rsidR="00053F4F" w:rsidRPr="00053F4F">
              <w:rPr>
                <w:rFonts w:eastAsia="BookmanOldStyle" w:cs="BookmanOldStyle"/>
              </w:rPr>
              <w:t>suszarni pozwoli zwiększyć efektywność energetyczną obiektu. Jej praca zużywa w warunkach polskiego klimatu jedynie 30 - 35</w:t>
            </w:r>
            <w:r w:rsidR="00053F4F">
              <w:rPr>
                <w:rFonts w:eastAsia="BookmanOldStyle" w:cs="BookmanOldStyle"/>
              </w:rPr>
              <w:t xml:space="preserve"> </w:t>
            </w:r>
            <w:r w:rsidR="00053F4F" w:rsidRPr="00053F4F">
              <w:rPr>
                <w:rFonts w:eastAsia="BookmanOldStyle" w:cs="BookmanOldStyle"/>
              </w:rPr>
              <w:t>kWh energii elektrycznej na odparowanie 1 tony wody z suszonego osadu. W związku z ociepleniem klimatu, zastosowanie takiego rozwiązania jest uzasadnione warunkami atmosferycznymi. Tego typu suszarnie wymagają mniejszych nakładów inwestycyjnych niż instalacje tradycyjne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RPr="007D4675" w:rsidTr="00CC643A">
        <w:tc>
          <w:tcPr>
            <w:tcW w:w="13975" w:type="dxa"/>
            <w:gridSpan w:val="5"/>
          </w:tcPr>
          <w:p w:rsidR="007D4675" w:rsidRDefault="007D4675" w:rsidP="007D4675">
            <w:pPr>
              <w:autoSpaceDE w:val="0"/>
              <w:autoSpaceDN w:val="0"/>
              <w:adjustRightInd w:val="0"/>
            </w:pPr>
            <w:r w:rsidRPr="007D4675">
              <w:t>Hermetyzacja procesów</w:t>
            </w:r>
            <w:r>
              <w:t xml:space="preserve"> i zastosowaniem </w:t>
            </w:r>
            <w:proofErr w:type="spellStart"/>
            <w:r>
              <w:t>biofiltró</w:t>
            </w:r>
            <w:r w:rsidRPr="007D4675">
              <w:t>w</w:t>
            </w:r>
            <w:proofErr w:type="spellEnd"/>
            <w:r w:rsidRPr="007D4675">
              <w:t xml:space="preserve"> spowoduje redukcj</w:t>
            </w:r>
            <w:r w:rsidRPr="007D4675">
              <w:rPr>
                <w:rFonts w:hint="eastAsia"/>
              </w:rPr>
              <w:t>ę</w:t>
            </w:r>
            <w:r w:rsidRPr="007D4675">
              <w:t xml:space="preserve"> o ponad 90% emisji</w:t>
            </w:r>
            <w:r>
              <w:t xml:space="preserve"> </w:t>
            </w:r>
            <w:r w:rsidRPr="007D4675">
              <w:t>w</w:t>
            </w:r>
            <w:r w:rsidRPr="007D4675">
              <w:rPr>
                <w:rFonts w:hint="eastAsia"/>
              </w:rPr>
              <w:t>ę</w:t>
            </w:r>
            <w:r>
              <w:t>glowodorów alifatycznych</w:t>
            </w:r>
            <w:r w:rsidRPr="007D4675">
              <w:t xml:space="preserve"> (m.in.CH4)</w:t>
            </w:r>
            <w:r>
              <w:t xml:space="preserve">, jednak nie policzono efektu </w:t>
            </w:r>
            <w:r w:rsidRPr="007D4675">
              <w:t>tego zmniejszenia emisji w bilansie ekwiwalentnej emisji CO2 dla analizowanego przedsi</w:t>
            </w:r>
            <w:r w:rsidRPr="007D4675">
              <w:rPr>
                <w:rFonts w:hint="eastAsia"/>
              </w:rPr>
              <w:t>ę</w:t>
            </w:r>
            <w:r w:rsidRPr="007D4675">
              <w:t>wzi</w:t>
            </w:r>
            <w:r w:rsidRPr="007D4675">
              <w:rPr>
                <w:rFonts w:hint="eastAsia"/>
              </w:rPr>
              <w:t>ę</w:t>
            </w:r>
            <w:r w:rsidRPr="007D4675">
              <w:t>cia</w:t>
            </w:r>
            <w:r>
              <w:t>.</w:t>
            </w:r>
          </w:p>
          <w:p w:rsidR="007D4675" w:rsidRPr="00C45BDB" w:rsidRDefault="00C45BDB" w:rsidP="007D4675">
            <w:pPr>
              <w:autoSpaceDE w:val="0"/>
              <w:autoSpaceDN w:val="0"/>
              <w:adjustRightInd w:val="0"/>
            </w:pPr>
            <w:r w:rsidRPr="00C45BDB">
              <w:t>Modern</w:t>
            </w:r>
            <w:r>
              <w:t>izacja i rozbudowa oczyszczalni</w:t>
            </w:r>
            <w:r w:rsidRPr="00C45BDB">
              <w:t xml:space="preserve"> spowoduje z</w:t>
            </w:r>
            <w:r w:rsidR="007D4675" w:rsidRPr="00C45BDB">
              <w:t>wi</w:t>
            </w:r>
            <w:r w:rsidR="007D4675" w:rsidRPr="00C45BDB">
              <w:rPr>
                <w:rFonts w:hint="eastAsia"/>
              </w:rPr>
              <w:t>ę</w:t>
            </w:r>
            <w:r w:rsidR="007D4675" w:rsidRPr="00C45BDB">
              <w:t>kszenie</w:t>
            </w:r>
            <w:r w:rsidRPr="00C45BDB">
              <w:t xml:space="preserve"> </w:t>
            </w:r>
            <w:r w:rsidR="007D4675" w:rsidRPr="00C45BDB">
              <w:t>zu</w:t>
            </w:r>
            <w:r w:rsidR="007D4675" w:rsidRPr="00C45BDB">
              <w:rPr>
                <w:rFonts w:hint="eastAsia"/>
              </w:rPr>
              <w:t>ż</w:t>
            </w:r>
            <w:r w:rsidR="007D4675" w:rsidRPr="00C45BDB">
              <w:t>ycia energii</w:t>
            </w:r>
            <w:r>
              <w:t>, co</w:t>
            </w:r>
            <w:r w:rsidR="007D4675" w:rsidRPr="00C45BDB">
              <w:t xml:space="preserve"> wynika z wprowadzenia nowych technologii oczyszczania </w:t>
            </w:r>
            <w:r w:rsidRPr="00C45BDB">
              <w:t>ścieków</w:t>
            </w:r>
            <w:r w:rsidR="007D4675" w:rsidRPr="00C45BDB">
              <w:t xml:space="preserve"> i</w:t>
            </w:r>
          </w:p>
          <w:p w:rsidR="00C45BDB" w:rsidRDefault="00C45BDB" w:rsidP="007D4675">
            <w:pPr>
              <w:autoSpaceDE w:val="0"/>
              <w:autoSpaceDN w:val="0"/>
              <w:adjustRightInd w:val="0"/>
            </w:pPr>
            <w:r w:rsidRPr="00C45BDB">
              <w:t>przeróbki</w:t>
            </w:r>
            <w:r w:rsidR="007D4675" w:rsidRPr="00C45BDB">
              <w:t xml:space="preserve"> </w:t>
            </w:r>
            <w:r w:rsidRPr="00C45BDB">
              <w:t>osadów</w:t>
            </w:r>
            <w:r w:rsidR="007D4675" w:rsidRPr="00C45BDB">
              <w:t xml:space="preserve"> pozwalaj</w:t>
            </w:r>
            <w:r w:rsidR="007D4675" w:rsidRPr="00C45BDB">
              <w:rPr>
                <w:rFonts w:hint="eastAsia"/>
              </w:rPr>
              <w:t>ą</w:t>
            </w:r>
            <w:r w:rsidR="007D4675" w:rsidRPr="00C45BDB">
              <w:t>cych na uzyskanie wy</w:t>
            </w:r>
            <w:r w:rsidR="007D4675" w:rsidRPr="00C45BDB">
              <w:rPr>
                <w:rFonts w:hint="eastAsia"/>
              </w:rPr>
              <w:t>ż</w:t>
            </w:r>
            <w:r w:rsidR="007D4675" w:rsidRPr="00C45BDB">
              <w:t xml:space="preserve">szego stopnia </w:t>
            </w:r>
            <w:r>
              <w:t xml:space="preserve">oczyszczenia </w:t>
            </w:r>
            <w:r w:rsidR="007D4675" w:rsidRPr="00C45BDB">
              <w:t xml:space="preserve">oraz </w:t>
            </w:r>
            <w:r w:rsidR="00B15F0C">
              <w:t>układu kogeneracji</w:t>
            </w:r>
            <w:r>
              <w:t xml:space="preserve"> (wzrost ten jest także efektem wzrostu RLM o 14 334 do 2022 r.)  </w:t>
            </w:r>
            <w:r w:rsidRPr="00C45BDB">
              <w:t xml:space="preserve">Wzrost emisji </w:t>
            </w:r>
            <w:r>
              <w:t xml:space="preserve">dla samej oczyszczalni </w:t>
            </w:r>
            <w:r w:rsidRPr="00C45BDB">
              <w:t>obliczono na 712,4 Mg/rok</w:t>
            </w:r>
            <w:r>
              <w:t>. Warto jednak zauważyć, że energia pozyskana (i wykorzystana) z układu kogeneracji (</w:t>
            </w:r>
            <w:r w:rsidRPr="00C45BDB">
              <w:t xml:space="preserve">1 077,48 MWh) </w:t>
            </w:r>
            <w:r>
              <w:t>będzie</w:t>
            </w:r>
            <w:r w:rsidRPr="00C45BDB">
              <w:t xml:space="preserve"> większa niż zużycie energii przed rozbudową i modernizacją </w:t>
            </w:r>
            <w:r>
              <w:t>(</w:t>
            </w:r>
            <w:r w:rsidRPr="00C45BDB">
              <w:t>803,9 MWh</w:t>
            </w:r>
            <w:r>
              <w:t>).</w:t>
            </w:r>
          </w:p>
          <w:p w:rsidR="00C45BDB" w:rsidRDefault="00C45BDB" w:rsidP="007D4675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Tutaj wklejam tabelę (ciekawe wyniki:)</w:t>
            </w:r>
          </w:p>
          <w:p w:rsidR="00C45BDB" w:rsidRPr="00C45BDB" w:rsidRDefault="00C45BDB" w:rsidP="007D4675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  <w:noProof/>
                <w:lang w:eastAsia="pl-PL"/>
              </w:rPr>
              <w:lastRenderedPageBreak/>
              <w:drawing>
                <wp:inline distT="0" distB="0" distL="0" distR="0">
                  <wp:extent cx="6381750" cy="4078277"/>
                  <wp:effectExtent l="19050" t="0" r="0" b="0"/>
                  <wp:docPr id="1" name="Obraz 0" descr="tabela_zapotrzebowanie na energię i emisje dla oczyszczalni przed i po rozbudow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bela_zapotrzebowanie na energię i emisje dla oczyszczalni przed i po rozbudowie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3629" cy="4079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5BDB" w:rsidRDefault="00C45BDB" w:rsidP="007D4675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C45BDB" w:rsidRPr="00C45BDB" w:rsidRDefault="00C45BDB" w:rsidP="007D4675">
            <w:pPr>
              <w:autoSpaceDE w:val="0"/>
              <w:autoSpaceDN w:val="0"/>
              <w:adjustRightInd w:val="0"/>
            </w:pPr>
            <w:r>
              <w:t xml:space="preserve">Największy wpływ na ograniczenie </w:t>
            </w:r>
            <w:r w:rsidRPr="007D4675">
              <w:rPr>
                <w:rFonts w:hint="eastAsia"/>
              </w:rPr>
              <w:t>ł</w:t>
            </w:r>
            <w:r w:rsidRPr="007D4675">
              <w:t xml:space="preserve">adunku ekwiwalentnej emisji CO2 </w:t>
            </w:r>
            <w:r>
              <w:t xml:space="preserve">będzie miało zadanie 2: </w:t>
            </w:r>
            <w:r w:rsidRPr="007D4675">
              <w:rPr>
                <w:i/>
              </w:rPr>
              <w:t>Rozbudowa systemu kanalizacji sanitarnej w po</w:t>
            </w:r>
            <w:r w:rsidRPr="007D4675">
              <w:rPr>
                <w:rFonts w:hint="eastAsia"/>
                <w:i/>
              </w:rPr>
              <w:t>ł</w:t>
            </w:r>
            <w:r w:rsidRPr="007D4675">
              <w:rPr>
                <w:i/>
              </w:rPr>
              <w:t>udniowej cz</w:t>
            </w:r>
            <w:r w:rsidRPr="007D4675">
              <w:rPr>
                <w:rFonts w:hint="eastAsia"/>
                <w:i/>
              </w:rPr>
              <w:t>ęś</w:t>
            </w:r>
            <w:r w:rsidRPr="007D4675">
              <w:rPr>
                <w:i/>
              </w:rPr>
              <w:t>ci dzielnicy Kolumna oraz budowa kanalizacji t</w:t>
            </w:r>
            <w:r w:rsidRPr="007D4675">
              <w:rPr>
                <w:rFonts w:hint="eastAsia"/>
                <w:i/>
              </w:rPr>
              <w:t>ł</w:t>
            </w:r>
            <w:r w:rsidRPr="007D4675">
              <w:rPr>
                <w:i/>
              </w:rPr>
              <w:t>ocznej z pompowni przy ul. Modrzewiowej do Placu Szarych Szeregów z wy</w:t>
            </w:r>
            <w:r w:rsidRPr="007D4675">
              <w:rPr>
                <w:rFonts w:hint="eastAsia"/>
                <w:i/>
              </w:rPr>
              <w:t>łą</w:t>
            </w:r>
            <w:r w:rsidRPr="007D4675">
              <w:rPr>
                <w:i/>
              </w:rPr>
              <w:t>czeniem z eksploatacji oczyszczalni ścieków w dzielnicy Kolumna</w:t>
            </w:r>
            <w:r>
              <w:t>, w związku z tym, że zostaną wykluczone e</w:t>
            </w:r>
            <w:r w:rsidRPr="007D4675">
              <w:t xml:space="preserve">misje </w:t>
            </w:r>
            <w:r>
              <w:t>wynikające z ruchu</w:t>
            </w:r>
            <w:r w:rsidRPr="007D4675">
              <w:t xml:space="preserve"> pojazdów na potrzeby wywozu ścieków</w:t>
            </w:r>
            <w:r>
              <w:t xml:space="preserve"> taborem </w:t>
            </w:r>
            <w:r w:rsidRPr="007D4675">
              <w:t>asenizacyjnym</w:t>
            </w:r>
            <w:r w:rsidR="00B15F0C">
              <w:t xml:space="preserve"> (-</w:t>
            </w:r>
            <w:r w:rsidR="00B15F0C" w:rsidRPr="00B15F0C">
              <w:t>12,10 tys. Mg CO2-e/rok)</w:t>
            </w:r>
            <w:r w:rsidR="00B15F0C">
              <w:t>.</w:t>
            </w:r>
          </w:p>
          <w:p w:rsidR="007D4675" w:rsidRPr="007D4675" w:rsidRDefault="00E93311" w:rsidP="007D467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t xml:space="preserve"> </w:t>
            </w: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lastRenderedPageBreak/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Default="00604C64" w:rsidP="00BB7947">
            <w:pPr>
              <w:rPr>
                <w:b/>
              </w:rPr>
            </w:pPr>
            <w:r>
              <w:t>b</w:t>
            </w:r>
            <w:r w:rsidRPr="00604C64">
              <w:t>rak rozwiązań</w:t>
            </w:r>
          </w:p>
          <w:p w:rsidR="004D43D1" w:rsidRDefault="004D43D1" w:rsidP="00BB7947">
            <w:pPr>
              <w:rPr>
                <w:b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CHARAKTER ODDZIAŁYWANIA</w:t>
            </w:r>
          </w:p>
        </w:tc>
      </w:tr>
      <w:tr w:rsidR="004D43D1" w:rsidRPr="00F928E8" w:rsidTr="00CC643A">
        <w:tc>
          <w:tcPr>
            <w:tcW w:w="13975" w:type="dxa"/>
            <w:gridSpan w:val="5"/>
          </w:tcPr>
          <w:p w:rsidR="004D43D1" w:rsidRPr="00604C64" w:rsidRDefault="00604C64" w:rsidP="00CC643A">
            <w:pPr>
              <w:rPr>
                <w:sz w:val="20"/>
                <w:szCs w:val="20"/>
              </w:rPr>
            </w:pPr>
            <w:r w:rsidRPr="00604C64">
              <w:rPr>
                <w:sz w:val="20"/>
                <w:szCs w:val="20"/>
              </w:rPr>
              <w:t>n.d.</w:t>
            </w:r>
          </w:p>
          <w:p w:rsidR="00CC643A" w:rsidRPr="00CC643A" w:rsidRDefault="00CC643A" w:rsidP="00CC643A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Pr="00604C64" w:rsidRDefault="00604C64" w:rsidP="00BB7947">
            <w:r w:rsidRPr="00604C64">
              <w:t>n.d.</w:t>
            </w:r>
          </w:p>
          <w:p w:rsidR="004D43D1" w:rsidRPr="00CC643A" w:rsidRDefault="004D43D1" w:rsidP="00BB7947">
            <w:pPr>
              <w:rPr>
                <w:i/>
              </w:rPr>
            </w:pP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B95F15" w:rsidRPr="00FE5282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  <w:tc>
          <w:tcPr>
            <w:tcW w:w="7655" w:type="dxa"/>
          </w:tcPr>
          <w:p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REGIONALNE LUB PONADREGIONALNEODDZIAŁYWANIE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  <w:tc>
          <w:tcPr>
            <w:tcW w:w="7655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7A4A0C" w:rsidRDefault="007A4A0C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6C44E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C44ED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Default="002F6113" w:rsidP="00670CF5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70CF5">
              <w:rPr>
                <w:rFonts w:cstheme="minorHAnsi"/>
                <w:lang w:eastAsia="pl-PL"/>
              </w:rPr>
              <w:t>ponoszon</w:t>
            </w:r>
            <w:r w:rsidR="00670CF5" w:rsidRPr="00670CF5">
              <w:rPr>
                <w:rFonts w:cstheme="minorHAnsi"/>
                <w:lang w:eastAsia="pl-PL"/>
              </w:rPr>
              <w:t>ych</w:t>
            </w:r>
            <w:r w:rsidR="0015763D" w:rsidRPr="00670CF5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3083D">
              <w:rPr>
                <w:rFonts w:cstheme="minorHAnsi"/>
                <w:lang w:eastAsia="pl-PL"/>
              </w:rPr>
              <w:t>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zmian klimatu w fazie realizacji.</w:t>
            </w:r>
          </w:p>
          <w:p w:rsidR="00BE5DB2" w:rsidRPr="00670CF5" w:rsidRDefault="00BE5DB2" w:rsidP="0044799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 xml:space="preserve">Analiza przeprowadzona w SW (w tym analiza wariantów) odnosi się </w:t>
            </w:r>
            <w:r>
              <w:rPr>
                <w:rFonts w:cstheme="minorHAnsi"/>
                <w:lang w:eastAsia="pl-PL"/>
              </w:rPr>
              <w:t>kosztu</w:t>
            </w:r>
            <w:r w:rsidRPr="00F1705D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inwestycji w zależności od przyjętego wariantu (zakres prac, zastosowana technologia</w:t>
            </w:r>
            <w:r w:rsidR="00447995">
              <w:rPr>
                <w:rFonts w:cstheme="minorHAnsi"/>
                <w:lang w:eastAsia="pl-PL"/>
              </w:rPr>
              <w:t>, wysokość emisji</w:t>
            </w:r>
            <w:r>
              <w:rPr>
                <w:rFonts w:cstheme="minorHAnsi"/>
                <w:lang w:eastAsia="pl-PL"/>
              </w:rPr>
              <w:t>)</w:t>
            </w:r>
            <w:r w:rsidRPr="00F1705D">
              <w:rPr>
                <w:rFonts w:cstheme="minorHAnsi"/>
                <w:lang w:eastAsia="pl-PL"/>
              </w:rPr>
              <w:t xml:space="preserve"> jednak nie </w:t>
            </w:r>
            <w:r>
              <w:rPr>
                <w:rFonts w:cstheme="minorHAnsi"/>
                <w:lang w:eastAsia="pl-PL"/>
              </w:rPr>
              <w:t>odwołuje się ona</w:t>
            </w:r>
            <w:r w:rsidRPr="00F1705D">
              <w:rPr>
                <w:rFonts w:cstheme="minorHAnsi"/>
                <w:lang w:eastAsia="pl-PL"/>
              </w:rPr>
              <w:t xml:space="preserve"> do kosztów </w:t>
            </w:r>
            <w:r>
              <w:rPr>
                <w:rFonts w:cstheme="minorHAnsi"/>
                <w:lang w:eastAsia="pl-PL"/>
              </w:rPr>
              <w:lastRenderedPageBreak/>
              <w:t xml:space="preserve">związanych ze </w:t>
            </w:r>
            <w:r w:rsidRPr="00670CF5">
              <w:rPr>
                <w:rFonts w:cstheme="minorHAnsi"/>
                <w:lang w:eastAsia="pl-PL"/>
              </w:rPr>
              <w:t>zwiększanie</w:t>
            </w:r>
            <w:r>
              <w:rPr>
                <w:rFonts w:cstheme="minorHAnsi"/>
                <w:lang w:eastAsia="pl-PL"/>
              </w:rPr>
              <w:t>m</w:t>
            </w:r>
            <w:r w:rsidRPr="00670CF5">
              <w:rPr>
                <w:rFonts w:cstheme="minorHAnsi"/>
                <w:lang w:eastAsia="pl-PL"/>
              </w:rPr>
              <w:t xml:space="preserve"> odporności inwestycji na zmiany klimatu</w:t>
            </w:r>
            <w:r>
              <w:rPr>
                <w:rFonts w:cstheme="minorHAnsi"/>
                <w:lang w:eastAsia="pl-PL"/>
              </w:rPr>
              <w:t>. Może wynikać to z trudności z wyodrębnieniem tego rodzaju kosztów oraz podejścia do analizy wariantów, w</w:t>
            </w:r>
            <w:r w:rsidR="00447995">
              <w:rPr>
                <w:rFonts w:cstheme="minorHAnsi"/>
                <w:lang w:eastAsia="pl-PL"/>
              </w:rPr>
              <w:t xml:space="preserve"> której przedmiotem różnicowania</w:t>
            </w:r>
            <w:r>
              <w:rPr>
                <w:rFonts w:cstheme="minorHAnsi"/>
                <w:lang w:eastAsia="pl-PL"/>
              </w:rPr>
              <w:t xml:space="preserve"> był przede wszystkim zakres projektu</w:t>
            </w:r>
            <w:r w:rsidR="00447995">
              <w:rPr>
                <w:rFonts w:cstheme="minorHAnsi"/>
                <w:lang w:eastAsia="pl-PL"/>
              </w:rPr>
              <w:t xml:space="preserve"> oraz jak najmniejszy ładunek </w:t>
            </w:r>
            <w:r w:rsidR="00447995" w:rsidRPr="007D4675">
              <w:t>ekwiwalentnej emisji CO2</w:t>
            </w:r>
            <w:r w:rsidR="00447995">
              <w:t>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A4A0C" w:rsidRDefault="00670CF5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70CF5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670CF5" w:rsidRDefault="007A4A0C" w:rsidP="00CA3E10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670CF5" w:rsidRPr="00F1705D" w:rsidRDefault="00670CF5" w:rsidP="00670CF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BE5DB2">
              <w:rPr>
                <w:rFonts w:cstheme="minorHAnsi"/>
                <w:lang w:eastAsia="pl-PL"/>
              </w:rPr>
              <w:t>mi lub katastrofami naturalnymi,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zmian klimatu w fazie eksploatacji.</w:t>
            </w:r>
          </w:p>
          <w:p w:rsidR="00F1705D" w:rsidRPr="00BE5DB2" w:rsidRDefault="00F1705D" w:rsidP="00BE5DB2">
            <w:pPr>
              <w:rPr>
                <w:rFonts w:cstheme="minorHAnsi"/>
                <w:lang w:eastAsia="pl-PL"/>
              </w:rPr>
            </w:pPr>
          </w:p>
        </w:tc>
      </w:tr>
      <w:tr w:rsidR="00AC3866" w:rsidTr="008615EE">
        <w:tc>
          <w:tcPr>
            <w:tcW w:w="3498" w:type="dxa"/>
          </w:tcPr>
          <w:p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AC3866" w:rsidRPr="007A4A0C" w:rsidRDefault="00AC3866" w:rsidP="00AC3866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TAK/NIE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670CF5" w:rsidRDefault="00670CF5" w:rsidP="0015763D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określono</w:t>
            </w:r>
            <w:r w:rsidR="00D86DD6" w:rsidRPr="00670CF5">
              <w:rPr>
                <w:rFonts w:cstheme="minorHAnsi"/>
                <w:lang w:eastAsia="pl-PL"/>
              </w:rPr>
              <w:t xml:space="preserve"> korzyści ekonomiczn</w:t>
            </w:r>
            <w:r w:rsidRPr="00670CF5">
              <w:rPr>
                <w:rFonts w:cstheme="minorHAnsi"/>
                <w:lang w:eastAsia="pl-PL"/>
              </w:rPr>
              <w:t>ych</w:t>
            </w:r>
            <w:r w:rsidR="00652EB6">
              <w:rPr>
                <w:rFonts w:cstheme="minorHAnsi"/>
                <w:lang w:eastAsia="pl-PL"/>
              </w:rPr>
              <w:t xml:space="preserve"> </w:t>
            </w:r>
            <w:r w:rsidR="00DE2465" w:rsidRPr="00670CF5">
              <w:rPr>
                <w:rFonts w:cstheme="minorHAnsi"/>
                <w:lang w:eastAsia="pl-PL"/>
              </w:rPr>
              <w:t>lub koszt</w:t>
            </w:r>
            <w:r w:rsidRPr="00670CF5">
              <w:rPr>
                <w:rFonts w:cstheme="minorHAnsi"/>
                <w:lang w:eastAsia="pl-PL"/>
              </w:rPr>
              <w:t>ów</w:t>
            </w:r>
            <w:r w:rsidR="00DE2465" w:rsidRPr="00670CF5">
              <w:rPr>
                <w:rFonts w:cstheme="minorHAnsi"/>
                <w:lang w:eastAsia="pl-PL"/>
              </w:rPr>
              <w:t xml:space="preserve"> unikniętych strat </w:t>
            </w:r>
            <w:r w:rsidR="00D86DD6" w:rsidRPr="00670CF5">
              <w:rPr>
                <w:rFonts w:cstheme="minorHAnsi"/>
                <w:lang w:eastAsia="pl-PL"/>
              </w:rPr>
              <w:t>wynikając</w:t>
            </w:r>
            <w:r w:rsidR="00AC3866">
              <w:rPr>
                <w:rFonts w:cstheme="minorHAnsi"/>
                <w:lang w:eastAsia="pl-PL"/>
              </w:rPr>
              <w:t>ych</w:t>
            </w:r>
            <w:r w:rsidR="00D86DD6" w:rsidRPr="00670CF5">
              <w:rPr>
                <w:rFonts w:cstheme="minorHAnsi"/>
                <w:lang w:eastAsia="pl-PL"/>
              </w:rPr>
              <w:t xml:space="preserve">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15763D" w:rsidRPr="007A4A0C" w:rsidRDefault="00AC3866" w:rsidP="00BE5DB2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AC3866" w:rsidRDefault="00AC3866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FE5282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1B3B4D" w:rsidRDefault="001B3B4D" w:rsidP="001B3B4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AC3866" w:rsidRPr="00A700B8" w:rsidRDefault="00AC3866" w:rsidP="00AC3866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A700B8">
              <w:rPr>
                <w:rFonts w:cstheme="minorHAnsi"/>
                <w:lang w:eastAsia="pl-PL"/>
              </w:rPr>
              <w:t>mi lub katastrofami naturalnymi, ani kosztów związanych z emisją gazów cieplarnianych /kosztów łagodzenia  zmian klimatu.</w:t>
            </w:r>
          </w:p>
          <w:p w:rsidR="001B3B4D" w:rsidRPr="00A700B8" w:rsidRDefault="001B3B4D" w:rsidP="00A700B8">
            <w:pPr>
              <w:autoSpaceDE w:val="0"/>
              <w:autoSpaceDN w:val="0"/>
              <w:adjustRightInd w:val="0"/>
            </w:pPr>
          </w:p>
        </w:tc>
      </w:tr>
      <w:tr w:rsidR="001B3B4D" w:rsidTr="00F62BB0">
        <w:tc>
          <w:tcPr>
            <w:tcW w:w="6996" w:type="dxa"/>
            <w:gridSpan w:val="2"/>
          </w:tcPr>
          <w:p w:rsidR="001B3B4D" w:rsidRPr="004E4D11" w:rsidRDefault="001B3B4D" w:rsidP="004E4D11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:rsidR="000A33F8" w:rsidRPr="000A33F8" w:rsidRDefault="00A9370C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RPr="00FE5282" w:rsidTr="00F62BB0">
        <w:tc>
          <w:tcPr>
            <w:tcW w:w="6996" w:type="dxa"/>
            <w:gridSpan w:val="2"/>
          </w:tcPr>
          <w:p w:rsidR="00482AFF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BEZPOSREDNICH I POŚREDNICH EMISJI GAZÓW CIEPLARNIANYCH</w:t>
            </w:r>
          </w:p>
          <w:p w:rsidR="007070B6" w:rsidRPr="004E4D11" w:rsidRDefault="007070B6" w:rsidP="00482AFF">
            <w:pPr>
              <w:rPr>
                <w:rFonts w:cstheme="minorHAnsi"/>
                <w:b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Default="007228C7" w:rsidP="0015763D">
            <w:pPr>
              <w:rPr>
                <w:rFonts w:cstheme="minorHAnsi"/>
                <w:lang w:eastAsia="pl-PL"/>
              </w:rPr>
            </w:pPr>
            <w:r w:rsidRPr="007228C7">
              <w:rPr>
                <w:rFonts w:cstheme="minorHAnsi"/>
                <w:lang w:eastAsia="pl-PL"/>
              </w:rPr>
              <w:t>TAK</w:t>
            </w:r>
            <w:r w:rsidR="00652EB6">
              <w:rPr>
                <w:rFonts w:cstheme="minorHAnsi"/>
                <w:lang w:eastAsia="pl-PL"/>
              </w:rPr>
              <w:t>;</w:t>
            </w:r>
          </w:p>
          <w:p w:rsidR="00652EB6" w:rsidRPr="00D90BDF" w:rsidRDefault="00053F4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t xml:space="preserve">Obliczenia wysokości emisji zastosowano do analizy wariantów inwestycji (SW </w:t>
            </w:r>
            <w:r w:rsidR="00652EB6">
              <w:t xml:space="preserve">rozdz. </w:t>
            </w:r>
            <w:r w:rsidRPr="00053F4F">
              <w:rPr>
                <w:rFonts w:eastAsia="BookmanOldStyle" w:cs="BookmanOldStyle"/>
              </w:rPr>
              <w:t>4.3.2.3</w:t>
            </w:r>
            <w:r w:rsidR="00652EB6">
              <w:t xml:space="preserve">) obliczono wielkość </w:t>
            </w:r>
            <w:r w:rsidR="00652EB6">
              <w:rPr>
                <w:rFonts w:cstheme="minorHAnsi"/>
                <w:lang w:eastAsia="pl-PL"/>
              </w:rPr>
              <w:t>emisji</w:t>
            </w:r>
            <w:r w:rsidR="00652EB6" w:rsidRPr="002D3E1E">
              <w:rPr>
                <w:rFonts w:cstheme="minorHAnsi"/>
                <w:lang w:eastAsia="pl-PL"/>
              </w:rPr>
              <w:t xml:space="preserve"> gazów cieplarnianych</w:t>
            </w:r>
            <w:r w:rsidR="00652EB6">
              <w:t xml:space="preserve"> </w:t>
            </w:r>
            <w:r w:rsidR="00D90BDF">
              <w:t xml:space="preserve">generowanych w ramach poszczególnych zadań inwestycyjnych przez różne </w:t>
            </w:r>
            <w:r w:rsidR="00D90BDF">
              <w:lastRenderedPageBreak/>
              <w:t>warianty</w:t>
            </w:r>
            <w:r w:rsidR="00652EB6">
              <w:t>: dla stanu istniejącego oraz projektowanego</w:t>
            </w:r>
            <w:r w:rsidR="00652EB6" w:rsidRPr="00A700B8">
              <w:t>.</w:t>
            </w:r>
            <w:r w:rsidR="00652EB6">
              <w:t xml:space="preserve"> Uwzględniono emisję bezpośrednią oraz </w:t>
            </w:r>
            <w:r w:rsidR="0053468D">
              <w:t>pośrednią/</w:t>
            </w:r>
            <w:r w:rsidR="00D90BDF">
              <w:t>niezorganizowaną (</w:t>
            </w:r>
            <w:r w:rsidR="00D90BDF">
              <w:rPr>
                <w:rFonts w:eastAsia="BookmanOldStyle" w:cs="BookmanOldStyle"/>
              </w:rPr>
              <w:t>e</w:t>
            </w:r>
            <w:r w:rsidR="00D90BDF" w:rsidRPr="00D609DC">
              <w:rPr>
                <w:rFonts w:eastAsia="BookmanOldStyle" w:cs="BookmanOldStyle"/>
              </w:rPr>
              <w:t xml:space="preserve">misje związane z ruchem </w:t>
            </w:r>
            <w:r w:rsidR="00D90BDF">
              <w:t xml:space="preserve">pojazdów </w:t>
            </w:r>
            <w:r w:rsidR="00D90BDF">
              <w:rPr>
                <w:rFonts w:eastAsia="BookmanOldStyle" w:cs="BookmanOldStyle"/>
              </w:rPr>
              <w:t>taboru asenizacyjnego</w:t>
            </w:r>
            <w:r w:rsidR="00652EB6" w:rsidRPr="00A700B8">
              <w:t>)</w:t>
            </w:r>
            <w:r w:rsidR="00652EB6">
              <w:t>.</w:t>
            </w:r>
            <w:r w:rsidR="00652EB6" w:rsidRPr="00A700B8">
              <w:t xml:space="preserve"> </w:t>
            </w:r>
            <w:r w:rsidR="00652EB6">
              <w:t xml:space="preserve"> </w:t>
            </w:r>
          </w:p>
          <w:p w:rsidR="00D90BDF" w:rsidRDefault="00D90BDF" w:rsidP="00652EB6">
            <w:r>
              <w:t>Powołano się na literaturę:</w:t>
            </w:r>
          </w:p>
          <w:p w:rsidR="00D90BDF" w:rsidRPr="0067226D" w:rsidRDefault="00D90BD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 w:rsidRPr="0067226D">
              <w:rPr>
                <w:rFonts w:eastAsia="BookmanOldStyle" w:cs="BookmanOldStyle"/>
              </w:rPr>
              <w:t>Poradnik Przygotowania Inwestycji z uwzględnieniem zmian klimatu, ich</w:t>
            </w:r>
          </w:p>
          <w:p w:rsidR="00D90BDF" w:rsidRPr="0067226D" w:rsidRDefault="00D90BD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 w:rsidRPr="0067226D">
              <w:rPr>
                <w:rFonts w:eastAsia="BookmanOldStyle" w:cs="BookmanOldStyle"/>
              </w:rPr>
              <w:t>łagodzenia i przystosowania do tych zmian oraz odporności na klęski żywioł</w:t>
            </w:r>
            <w:r>
              <w:rPr>
                <w:rFonts w:eastAsia="BookmanOldStyle" w:cs="BookmanOldStyle"/>
              </w:rPr>
              <w:t xml:space="preserve">owe, </w:t>
            </w:r>
            <w:r w:rsidRPr="0067226D">
              <w:rPr>
                <w:rFonts w:eastAsia="BookmanOldStyle" w:cs="BookmanOldStyle"/>
              </w:rPr>
              <w:t>Ministerstwo Środowiska Departament Zrównoważonego Rozwoju Październik 2015, Warszawa</w:t>
            </w:r>
          </w:p>
          <w:p w:rsidR="00D90BDF" w:rsidRPr="0067226D" w:rsidRDefault="00D90BD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  <w:lang w:val="en-US"/>
              </w:rPr>
            </w:pPr>
            <w:r w:rsidRPr="00D90BDF">
              <w:rPr>
                <w:rFonts w:eastAsia="BookmanOldStyle" w:cs="Symbol"/>
                <w:lang w:val="en-US"/>
              </w:rPr>
              <w:t xml:space="preserve">· </w:t>
            </w:r>
            <w:r w:rsidRPr="0067226D">
              <w:rPr>
                <w:rFonts w:eastAsia="BookmanOldStyle" w:cs="BookmanOldStyle"/>
                <w:lang w:val="en-US"/>
              </w:rPr>
              <w:t>European Investment Bank Induced GHG Foo</w:t>
            </w:r>
            <w:r>
              <w:rPr>
                <w:rFonts w:eastAsia="BookmanOldStyle" w:cs="BookmanOldStyle"/>
                <w:lang w:val="en-US"/>
              </w:rPr>
              <w:t xml:space="preserve">tprint, The carbon footprint of </w:t>
            </w:r>
            <w:r w:rsidRPr="0067226D">
              <w:rPr>
                <w:rFonts w:eastAsia="BookmanOldStyle" w:cs="BookmanOldStyle"/>
                <w:lang w:val="en-US"/>
              </w:rPr>
              <w:t>projects financed by the Bank. Methodologies fo</w:t>
            </w:r>
            <w:r>
              <w:rPr>
                <w:rFonts w:eastAsia="BookmanOldStyle" w:cs="BookmanOldStyle"/>
                <w:lang w:val="en-US"/>
              </w:rPr>
              <w:t xml:space="preserve">r the Assessment of Project GHG </w:t>
            </w:r>
            <w:r w:rsidRPr="0067226D">
              <w:rPr>
                <w:rFonts w:eastAsia="BookmanOldStyle" w:cs="BookmanOldStyle"/>
                <w:lang w:val="en-US"/>
              </w:rPr>
              <w:t>Emissions and Emission Variations Version 10.1</w:t>
            </w:r>
          </w:p>
          <w:p w:rsidR="00D90BDF" w:rsidRPr="0067226D" w:rsidRDefault="00D90BD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  <w:lang w:val="en-US"/>
              </w:rPr>
            </w:pPr>
            <w:r w:rsidRPr="00D90BDF">
              <w:rPr>
                <w:rFonts w:eastAsia="BookmanOldStyle" w:cs="Symbol"/>
                <w:lang w:val="en-US"/>
              </w:rPr>
              <w:t xml:space="preserve">· </w:t>
            </w:r>
            <w:r w:rsidRPr="0067226D">
              <w:rPr>
                <w:rFonts w:eastAsia="BookmanOldStyle" w:cs="BookmanOldStyle"/>
                <w:lang w:val="en-US"/>
              </w:rPr>
              <w:t>Manual for Calculating Greenhouse Gas Benefits of Gl</w:t>
            </w:r>
            <w:r>
              <w:rPr>
                <w:rFonts w:eastAsia="BookmanOldStyle" w:cs="BookmanOldStyle"/>
                <w:lang w:val="en-US"/>
              </w:rPr>
              <w:t xml:space="preserve">obal Environment Facility </w:t>
            </w:r>
            <w:r w:rsidRPr="0067226D">
              <w:rPr>
                <w:rFonts w:eastAsia="BookmanOldStyle" w:cs="BookmanOldStyle"/>
                <w:lang w:val="en-US"/>
              </w:rPr>
              <w:t>Transportation Projects Prepared by the I</w:t>
            </w:r>
            <w:r>
              <w:rPr>
                <w:rFonts w:eastAsia="BookmanOldStyle" w:cs="BookmanOldStyle"/>
                <w:lang w:val="en-US"/>
              </w:rPr>
              <w:t xml:space="preserve">nstitute for Transportation and </w:t>
            </w:r>
            <w:r w:rsidRPr="0067226D">
              <w:rPr>
                <w:rFonts w:eastAsia="BookmanOldStyle" w:cs="BookmanOldStyle"/>
                <w:lang w:val="en-US"/>
              </w:rPr>
              <w:t>Development Policy For the Scientific and Technical Advisory Panel of the Global</w:t>
            </w:r>
            <w:r>
              <w:rPr>
                <w:rFonts w:eastAsia="BookmanOldStyle" w:cs="BookmanOldStyle"/>
                <w:lang w:val="en-US"/>
              </w:rPr>
              <w:t xml:space="preserve"> </w:t>
            </w:r>
            <w:r w:rsidRPr="0067226D">
              <w:rPr>
                <w:rFonts w:eastAsia="BookmanOldStyle" w:cs="BookmanOldStyle"/>
                <w:lang w:val="en-US"/>
              </w:rPr>
              <w:t>Environment Facility</w:t>
            </w:r>
          </w:p>
          <w:p w:rsidR="00D90BDF" w:rsidRPr="0067226D" w:rsidRDefault="00D90BD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  <w:lang w:val="en-US"/>
              </w:rPr>
            </w:pPr>
            <w:r w:rsidRPr="00D90BDF">
              <w:rPr>
                <w:rFonts w:eastAsia="BookmanOldStyle" w:cs="Symbol"/>
                <w:lang w:val="en-US"/>
              </w:rPr>
              <w:t xml:space="preserve">· </w:t>
            </w:r>
            <w:r w:rsidRPr="0067226D">
              <w:rPr>
                <w:rFonts w:eastAsia="BookmanOldStyle" w:cs="BookmanOldStyle"/>
                <w:lang w:val="en-US"/>
              </w:rPr>
              <w:t xml:space="preserve">Evaluation of GHG emissions for Road and Rail/Public </w:t>
            </w:r>
            <w:r>
              <w:rPr>
                <w:rFonts w:eastAsia="BookmanOldStyle" w:cs="BookmanOldStyle"/>
                <w:lang w:val="en-US"/>
              </w:rPr>
              <w:t xml:space="preserve">Transport Projects </w:t>
            </w:r>
            <w:proofErr w:type="spellStart"/>
            <w:r>
              <w:rPr>
                <w:rFonts w:eastAsia="BookmanOldStyle" w:cs="BookmanOldStyle"/>
                <w:lang w:val="en-US"/>
              </w:rPr>
              <w:t>Elisabet</w:t>
            </w:r>
            <w:proofErr w:type="spellEnd"/>
            <w:r>
              <w:rPr>
                <w:rFonts w:eastAsia="BookmanOldStyle" w:cs="BookmanOldStyle"/>
                <w:lang w:val="en-US"/>
              </w:rPr>
              <w:t xml:space="preserve"> </w:t>
            </w:r>
            <w:r w:rsidRPr="0067226D">
              <w:rPr>
                <w:rFonts w:eastAsia="BookmanOldStyle" w:cs="BookmanOldStyle"/>
                <w:lang w:val="en-US"/>
              </w:rPr>
              <w:t xml:space="preserve">Vila </w:t>
            </w:r>
            <w:proofErr w:type="spellStart"/>
            <w:r w:rsidRPr="0067226D">
              <w:rPr>
                <w:rFonts w:eastAsia="BookmanOldStyle" w:cs="BookmanOldStyle"/>
                <w:lang w:val="en-US"/>
              </w:rPr>
              <w:t>Jorda</w:t>
            </w:r>
            <w:proofErr w:type="spellEnd"/>
            <w:r w:rsidRPr="0067226D">
              <w:rPr>
                <w:rFonts w:eastAsia="BookmanOldStyle" w:cs="BookmanOldStyle"/>
                <w:lang w:val="en-US"/>
              </w:rPr>
              <w:t xml:space="preserve">, </w:t>
            </w:r>
            <w:proofErr w:type="spellStart"/>
            <w:r w:rsidRPr="0067226D">
              <w:rPr>
                <w:rFonts w:eastAsia="BookmanOldStyle" w:cs="BookmanOldStyle"/>
                <w:lang w:val="en-US"/>
              </w:rPr>
              <w:t>Neri</w:t>
            </w:r>
            <w:proofErr w:type="spellEnd"/>
            <w:r w:rsidRPr="0067226D">
              <w:rPr>
                <w:rFonts w:eastAsia="BookmanOldStyle" w:cs="BookmanOldStyle"/>
                <w:lang w:val="en-US"/>
              </w:rPr>
              <w:t xml:space="preserve"> di Volo – JASPERS, Brussels, 29th &amp; 30th September 2015</w:t>
            </w:r>
          </w:p>
          <w:p w:rsidR="00D90BDF" w:rsidRPr="00D90BDF" w:rsidRDefault="00D90BD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  <w:lang w:val="en-US"/>
              </w:rPr>
            </w:pPr>
            <w:r w:rsidRPr="00D90BDF">
              <w:rPr>
                <w:rFonts w:eastAsia="BookmanOldStyle" w:cs="BookmanOldStyle"/>
                <w:lang w:val="en-US"/>
              </w:rPr>
              <w:t xml:space="preserve">Do </w:t>
            </w:r>
            <w:proofErr w:type="spellStart"/>
            <w:r w:rsidRPr="00D90BDF">
              <w:rPr>
                <w:rFonts w:eastAsia="BookmanOldStyle" w:cs="BookmanOldStyle"/>
                <w:lang w:val="en-US"/>
              </w:rPr>
              <w:t>obliczeń</w:t>
            </w:r>
            <w:proofErr w:type="spellEnd"/>
            <w:r w:rsidRPr="00D90BDF">
              <w:rPr>
                <w:rFonts w:eastAsia="BookmanOldStyle" w:cs="BookmanOldStyle"/>
                <w:lang w:val="en-US"/>
              </w:rPr>
              <w:t xml:space="preserve"> </w:t>
            </w:r>
            <w:proofErr w:type="spellStart"/>
            <w:r w:rsidRPr="00D90BDF">
              <w:rPr>
                <w:rFonts w:eastAsia="BookmanOldStyle" w:cs="BookmanOldStyle"/>
                <w:lang w:val="en-US"/>
              </w:rPr>
              <w:t>zastosowano</w:t>
            </w:r>
            <w:proofErr w:type="spellEnd"/>
            <w:r w:rsidRPr="00D90BDF">
              <w:rPr>
                <w:rFonts w:eastAsia="BookmanOldStyle" w:cs="BookmanOldStyle"/>
                <w:lang w:val="en-US"/>
              </w:rPr>
              <w:t xml:space="preserve"> </w:t>
            </w:r>
            <w:proofErr w:type="spellStart"/>
            <w:r w:rsidRPr="00D90BDF">
              <w:rPr>
                <w:rFonts w:eastAsia="BookmanOldStyle" w:cs="BookmanOldStyle"/>
                <w:lang w:val="en-US"/>
              </w:rPr>
              <w:t>wskaźniki</w:t>
            </w:r>
            <w:proofErr w:type="spellEnd"/>
            <w:r w:rsidRPr="00D90BDF">
              <w:rPr>
                <w:rFonts w:eastAsia="BookmanOldStyle" w:cs="BookmanOldStyle"/>
                <w:lang w:val="en-US"/>
              </w:rPr>
              <w:t xml:space="preserve"> </w:t>
            </w:r>
            <w:proofErr w:type="spellStart"/>
            <w:r w:rsidRPr="00D90BDF">
              <w:rPr>
                <w:rFonts w:eastAsia="BookmanOldStyle" w:cs="BookmanOldStyle"/>
                <w:lang w:val="en-US"/>
              </w:rPr>
              <w:t>emisji</w:t>
            </w:r>
            <w:proofErr w:type="spellEnd"/>
            <w:r w:rsidRPr="00D90BDF">
              <w:rPr>
                <w:rFonts w:eastAsia="BookmanOldStyle" w:cs="BookmanOldStyle"/>
                <w:lang w:val="en-US"/>
              </w:rPr>
              <w:t xml:space="preserve"> z „Annex 2: Default Emissions Calculation </w:t>
            </w:r>
            <w:r w:rsidRPr="0067226D">
              <w:rPr>
                <w:rFonts w:eastAsia="BookmanOldStyle" w:cs="BookmanOldStyle"/>
                <w:lang w:val="en-US"/>
              </w:rPr>
              <w:t xml:space="preserve">Methodologies” </w:t>
            </w:r>
            <w:proofErr w:type="spellStart"/>
            <w:r w:rsidRPr="0067226D">
              <w:rPr>
                <w:rFonts w:eastAsia="BookmanOldStyle" w:cs="BookmanOldStyle"/>
                <w:lang w:val="en-US"/>
              </w:rPr>
              <w:t>wydawnictwa</w:t>
            </w:r>
            <w:proofErr w:type="spellEnd"/>
            <w:r w:rsidRPr="0067226D">
              <w:rPr>
                <w:rFonts w:eastAsia="BookmanOldStyle" w:cs="BookmanOldStyle"/>
                <w:lang w:val="en-US"/>
              </w:rPr>
              <w:t>: European Investment Bank Induced GHG Footprint, The</w:t>
            </w:r>
            <w:r w:rsidRPr="00D90BDF">
              <w:rPr>
                <w:rFonts w:eastAsia="BookmanOldStyle" w:cs="BookmanOldStyle"/>
                <w:lang w:val="en-US"/>
              </w:rPr>
              <w:t xml:space="preserve"> </w:t>
            </w:r>
            <w:r w:rsidRPr="0067226D">
              <w:rPr>
                <w:rFonts w:eastAsia="BookmanOldStyle" w:cs="BookmanOldStyle"/>
                <w:lang w:val="en-US"/>
              </w:rPr>
              <w:t>carbon footprint of projects financed by the Bank. Methodologies for the Assessment of</w:t>
            </w:r>
            <w:r w:rsidRPr="00D90BDF">
              <w:rPr>
                <w:rFonts w:eastAsia="BookmanOldStyle" w:cs="BookmanOldStyle"/>
                <w:lang w:val="en-US"/>
              </w:rPr>
              <w:t xml:space="preserve"> </w:t>
            </w:r>
            <w:r w:rsidRPr="0067226D">
              <w:rPr>
                <w:rFonts w:eastAsia="BookmanOldStyle" w:cs="BookmanOldStyle"/>
                <w:lang w:val="en-US"/>
              </w:rPr>
              <w:t>Project GHG Emissions and Emission Variations Version 10.1.</w:t>
            </w:r>
          </w:p>
          <w:p w:rsidR="00D90BDF" w:rsidRPr="00D90BDF" w:rsidRDefault="00D90BDF" w:rsidP="00652EB6">
            <w:pPr>
              <w:rPr>
                <w:rFonts w:cstheme="minorHAnsi"/>
                <w:color w:val="4472C4" w:themeColor="accent1"/>
                <w:lang w:val="en-US" w:eastAsia="pl-PL"/>
              </w:rPr>
            </w:pPr>
          </w:p>
        </w:tc>
      </w:tr>
    </w:tbl>
    <w:p w:rsidR="008615EE" w:rsidRPr="00D90BDF" w:rsidRDefault="008615EE" w:rsidP="006A0215">
      <w:pPr>
        <w:rPr>
          <w:rFonts w:cstheme="minorHAnsi"/>
          <w:i/>
          <w:color w:val="4472C4" w:themeColor="accent1"/>
          <w:lang w:val="en-US" w:eastAsia="pl-PL"/>
        </w:rPr>
      </w:pPr>
    </w:p>
    <w:p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:rsidR="007070B6" w:rsidRDefault="007070B6" w:rsidP="007070B6">
      <w:pPr>
        <w:rPr>
          <w:rFonts w:cstheme="minorHAnsi"/>
          <w:i/>
          <w:lang w:eastAsia="pl-PL"/>
        </w:rPr>
      </w:pPr>
      <w:r w:rsidRPr="004E68FB">
        <w:rPr>
          <w:rFonts w:cstheme="minorHAnsi"/>
          <w:i/>
          <w:lang w:eastAsia="pl-PL"/>
        </w:rPr>
        <w:t>Czy w projekcie można zidentyfikować rozwiązania związane ze zmianami klimatu, ich łagodzeniem i przystosowaniem do tych zmian oraz odporności na klęski żywiołowe, które można uznać za dobrą praktykę?</w:t>
      </w:r>
    </w:p>
    <w:p w:rsidR="004E68FB" w:rsidRDefault="00AE05D2" w:rsidP="007070B6">
      <w:pPr>
        <w:rPr>
          <w:rFonts w:cstheme="minorHAnsi"/>
          <w:lang w:eastAsia="pl-PL"/>
        </w:rPr>
      </w:pPr>
      <w:r>
        <w:rPr>
          <w:rFonts w:cstheme="minorHAnsi"/>
          <w:lang w:eastAsia="pl-PL"/>
        </w:rPr>
        <w:t>Zastosowane d</w:t>
      </w:r>
      <w:r w:rsidR="004E68FB">
        <w:rPr>
          <w:rFonts w:cstheme="minorHAnsi"/>
          <w:lang w:eastAsia="pl-PL"/>
        </w:rPr>
        <w:t>z</w:t>
      </w:r>
      <w:r>
        <w:rPr>
          <w:rFonts w:cstheme="minorHAnsi"/>
          <w:lang w:eastAsia="pl-PL"/>
        </w:rPr>
        <w:t>iałania zapobiegawczo-ochronne przed skutkami mianami klimatu nie są nowatorskie, a raczej wynikają z dobrej praktyki budowlanej i obowiązujących standardów.</w:t>
      </w:r>
    </w:p>
    <w:p w:rsidR="00AE05D2" w:rsidRDefault="00AE05D2" w:rsidP="007070B6">
      <w:pPr>
        <w:rPr>
          <w:rFonts w:cstheme="minorHAnsi"/>
          <w:lang w:eastAsia="pl-PL"/>
        </w:rPr>
      </w:pPr>
      <w:r>
        <w:rPr>
          <w:rFonts w:cstheme="minorHAnsi"/>
          <w:lang w:eastAsia="pl-PL"/>
        </w:rPr>
        <w:lastRenderedPageBreak/>
        <w:t>Natomiast jako dobre praktyki można uznać:</w:t>
      </w:r>
    </w:p>
    <w:p w:rsidR="00AE05D2" w:rsidRDefault="00AE05D2" w:rsidP="007070B6">
      <w:pPr>
        <w:rPr>
          <w:rFonts w:cstheme="minorHAnsi"/>
          <w:lang w:eastAsia="pl-PL"/>
        </w:rPr>
      </w:pPr>
      <w:r>
        <w:rPr>
          <w:rFonts w:cstheme="minorHAnsi"/>
          <w:lang w:eastAsia="pl-PL"/>
        </w:rPr>
        <w:t>- zastosowanie wyliczeń emisji gazów cieplarnianych do analizy wariantowej rozwiązań;</w:t>
      </w:r>
    </w:p>
    <w:p w:rsidR="00AE05D2" w:rsidRPr="000A47B7" w:rsidRDefault="00AE05D2" w:rsidP="00AE05D2">
      <w:pPr>
        <w:autoSpaceDE w:val="0"/>
        <w:autoSpaceDN w:val="0"/>
        <w:adjustRightInd w:val="0"/>
        <w:spacing w:after="0" w:line="240" w:lineRule="auto"/>
        <w:rPr>
          <w:rFonts w:eastAsia="BookmanOldStyle" w:cs="BookmanOldStyle"/>
        </w:rPr>
      </w:pPr>
      <w:r>
        <w:rPr>
          <w:rFonts w:cstheme="minorHAnsi"/>
          <w:lang w:eastAsia="pl-PL"/>
        </w:rPr>
        <w:t xml:space="preserve">- </w:t>
      </w:r>
      <w:r>
        <w:rPr>
          <w:rFonts w:eastAsia="BookmanOldStyle" w:cs="BookmanOldStyle"/>
        </w:rPr>
        <w:t>zmiana</w:t>
      </w:r>
      <w:r w:rsidRPr="000A47B7">
        <w:rPr>
          <w:rFonts w:eastAsia="BookmanOldStyle" w:cs="BookmanOldStyle"/>
        </w:rPr>
        <w:t xml:space="preserve"> technologii przeróbki osadów</w:t>
      </w:r>
      <w:r>
        <w:rPr>
          <w:rFonts w:eastAsia="BookmanOldStyle" w:cs="BookmanOldStyle"/>
        </w:rPr>
        <w:t xml:space="preserve"> polegająca</w:t>
      </w:r>
      <w:r w:rsidRPr="000A47B7">
        <w:rPr>
          <w:rFonts w:eastAsia="BookmanOldStyle" w:cs="BookmanOldStyle"/>
        </w:rPr>
        <w:t xml:space="preserve"> na wprowadzeniu</w:t>
      </w:r>
      <w:r>
        <w:rPr>
          <w:rFonts w:eastAsia="BookmanOldStyle" w:cs="BookmanOldStyle"/>
        </w:rPr>
        <w:t xml:space="preserve"> </w:t>
      </w:r>
      <w:r w:rsidRPr="000A47B7">
        <w:rPr>
          <w:rFonts w:eastAsia="BookmanOldStyle" w:cs="BookmanOldStyle"/>
        </w:rPr>
        <w:t xml:space="preserve">metanowej fermentacji </w:t>
      </w:r>
      <w:r>
        <w:rPr>
          <w:rFonts w:eastAsia="BookmanOldStyle" w:cs="BookmanOldStyle"/>
        </w:rPr>
        <w:t>osa</w:t>
      </w:r>
      <w:r w:rsidRPr="000A47B7">
        <w:rPr>
          <w:rFonts w:eastAsia="BookmanOldStyle" w:cs="BookmanOldStyle"/>
        </w:rPr>
        <w:t>dów wstępnych i nadmiernych zamkniętych w komorze</w:t>
      </w:r>
    </w:p>
    <w:p w:rsidR="00AE05D2" w:rsidRDefault="00AE05D2" w:rsidP="00AE05D2">
      <w:pPr>
        <w:autoSpaceDE w:val="0"/>
        <w:autoSpaceDN w:val="0"/>
        <w:adjustRightInd w:val="0"/>
        <w:rPr>
          <w:rFonts w:eastAsia="BookmanOldStyle" w:cs="BookmanOldStyle"/>
        </w:rPr>
      </w:pPr>
      <w:r w:rsidRPr="000A47B7">
        <w:rPr>
          <w:rFonts w:eastAsia="BookmanOldStyle" w:cs="BookmanOldStyle"/>
        </w:rPr>
        <w:t>z odzyskaniem biogazu</w:t>
      </w:r>
      <w:r>
        <w:rPr>
          <w:rFonts w:eastAsia="BookmanOldStyle" w:cs="BookmanOldStyle"/>
        </w:rPr>
        <w:t xml:space="preserve"> (</w:t>
      </w:r>
      <w:r w:rsidRPr="0024749C">
        <w:rPr>
          <w:rFonts w:eastAsia="BookmanOldStyle" w:cs="BookmanOldStyle"/>
        </w:rPr>
        <w:t>montaż instalacji do odzysku biogazu</w:t>
      </w:r>
      <w:r>
        <w:rPr>
          <w:rFonts w:eastAsia="BookmanOldStyle" w:cs="BookmanOldStyle"/>
        </w:rPr>
        <w:t>)</w:t>
      </w:r>
      <w:r w:rsidRPr="000A47B7">
        <w:rPr>
          <w:rFonts w:eastAsia="BookmanOldStyle" w:cs="BookmanOldStyle"/>
        </w:rPr>
        <w:t xml:space="preserve"> i wykorzystaniu go w procesie kogeneracji</w:t>
      </w:r>
      <w:r>
        <w:rPr>
          <w:rFonts w:eastAsia="BookmanOldStyle" w:cs="BookmanOldStyle"/>
        </w:rPr>
        <w:t xml:space="preserve"> (zmniejszenie</w:t>
      </w:r>
      <w:r w:rsidRPr="0024749C">
        <w:rPr>
          <w:rFonts w:eastAsia="BookmanOldStyle" w:cs="BookmanOldStyle"/>
        </w:rPr>
        <w:t xml:space="preserve"> emisji gazów cieplarnianych</w:t>
      </w:r>
      <w:r>
        <w:rPr>
          <w:rFonts w:eastAsia="BookmanOldStyle" w:cs="BookmanOldStyle"/>
        </w:rPr>
        <w:t xml:space="preserve">, </w:t>
      </w:r>
      <w:r w:rsidRPr="0024749C">
        <w:rPr>
          <w:rFonts w:eastAsia="BookmanOldStyle" w:cs="BookmanOldStyle"/>
        </w:rPr>
        <w:t>zwiększenie</w:t>
      </w:r>
      <w:r>
        <w:rPr>
          <w:rFonts w:eastAsia="BookmanOldStyle" w:cs="BookmanOldStyle"/>
        </w:rPr>
        <w:t xml:space="preserve"> </w:t>
      </w:r>
      <w:r w:rsidRPr="0024749C">
        <w:rPr>
          <w:rFonts w:eastAsia="BookmanOldStyle" w:cs="BookmanOldStyle"/>
        </w:rPr>
        <w:t xml:space="preserve">efektywności </w:t>
      </w:r>
      <w:r>
        <w:rPr>
          <w:rFonts w:eastAsia="BookmanOldStyle" w:cs="BookmanOldStyle"/>
        </w:rPr>
        <w:t>energetycznej obiektu);</w:t>
      </w:r>
      <w:r w:rsidR="00EC3B49">
        <w:rPr>
          <w:rFonts w:eastAsia="BookmanOldStyle" w:cs="BookmanOldStyle"/>
        </w:rPr>
        <w:t xml:space="preserve"> </w:t>
      </w:r>
      <w:r w:rsidR="00EC3B49">
        <w:t>h</w:t>
      </w:r>
      <w:r w:rsidR="00EC3B49" w:rsidRPr="007D4675">
        <w:t>ermetyzacja procesów</w:t>
      </w:r>
      <w:r w:rsidR="00EC3B49">
        <w:t xml:space="preserve"> i zastosowanie </w:t>
      </w:r>
      <w:proofErr w:type="spellStart"/>
      <w:r w:rsidR="00EC3B49">
        <w:t>biofiltró</w:t>
      </w:r>
      <w:r w:rsidR="00EC3B49" w:rsidRPr="007D4675">
        <w:t>w</w:t>
      </w:r>
      <w:proofErr w:type="spellEnd"/>
      <w:r w:rsidR="00EC3B49">
        <w:t xml:space="preserve"> (ograniczenie emisji gazów cieplarnianych oraz związków złowonnych)</w:t>
      </w:r>
    </w:p>
    <w:p w:rsidR="00AE05D2" w:rsidRDefault="00AE05D2" w:rsidP="00AE05D2">
      <w:pPr>
        <w:autoSpaceDE w:val="0"/>
        <w:autoSpaceDN w:val="0"/>
        <w:adjustRightInd w:val="0"/>
        <w:rPr>
          <w:rFonts w:eastAsia="BookmanOldStyle" w:cs="BookmanOldStyle"/>
        </w:rPr>
      </w:pPr>
      <w:r>
        <w:rPr>
          <w:rFonts w:eastAsia="BookmanOldStyle" w:cs="BookmanOldStyle"/>
        </w:rPr>
        <w:t xml:space="preserve">- </w:t>
      </w:r>
      <w:r w:rsidR="00EC3B49">
        <w:rPr>
          <w:rFonts w:eastAsia="BookmanOldStyle" w:cs="BookmanOldStyle"/>
        </w:rPr>
        <w:t>wykorzystanie energii słonecznej w procesie suszenia osadów (suszarnia solarna)</w:t>
      </w:r>
    </w:p>
    <w:p w:rsidR="007070B6" w:rsidRDefault="007070B6" w:rsidP="007070B6">
      <w:pPr>
        <w:rPr>
          <w:rFonts w:cstheme="minorHAnsi"/>
          <w:i/>
          <w:lang w:eastAsia="pl-PL"/>
        </w:rPr>
      </w:pPr>
      <w:r w:rsidRPr="004E68FB">
        <w:rPr>
          <w:rFonts w:cstheme="minorHAnsi"/>
          <w:i/>
          <w:lang w:eastAsia="pl-PL"/>
        </w:rPr>
        <w:t>Czy rozwiązania mają charakter indywidualny, czy uniwersalny, tzn. w jakim stopniu mogą zostać zastosowane w innych projektach o podobnym charakterze?</w:t>
      </w:r>
    </w:p>
    <w:p w:rsidR="00053F4F" w:rsidRDefault="00361A74" w:rsidP="006A0215">
      <w:pPr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Przedstawione wyżej rozwiązania mają charakter uniwersalny i  mogą być zastosowane w projektach o podobnym charakterze; </w:t>
      </w:r>
      <w:r w:rsidR="00EC3B49">
        <w:rPr>
          <w:rFonts w:cstheme="minorHAnsi"/>
          <w:lang w:eastAsia="pl-PL"/>
        </w:rPr>
        <w:t>za wyjątkiem suszarni solarnej (jej efektywne zastosowanie zależy od lokalnych warunków nasłonecznienia).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3A1840" w:rsidRPr="003A1840" w:rsidRDefault="003A1840" w:rsidP="003A184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Default="000D411A" w:rsidP="006A0215">
      <w:pPr>
        <w:rPr>
          <w:b/>
        </w:rPr>
      </w:pPr>
      <w:r w:rsidRPr="000D411A">
        <w:rPr>
          <w:b/>
        </w:rPr>
        <w:t>INNE MATERIAŁY WYKORZYSTYWANE NA ETAPIE PRZYGOTOWANIA PROJEKTÓW</w:t>
      </w:r>
    </w:p>
    <w:p w:rsidR="000D411A" w:rsidRDefault="000D411A" w:rsidP="006A0215">
      <w:pPr>
        <w:rPr>
          <w:i/>
          <w:color w:val="4472C4" w:themeColor="accent1"/>
        </w:rPr>
      </w:pPr>
      <w:r w:rsidRPr="000D411A">
        <w:rPr>
          <w:i/>
          <w:color w:val="4472C4" w:themeColor="accent1"/>
        </w:rPr>
        <w:t xml:space="preserve">Czy na etapie przygotowania projektu </w:t>
      </w:r>
      <w:r>
        <w:rPr>
          <w:i/>
          <w:color w:val="4472C4" w:themeColor="accent1"/>
        </w:rPr>
        <w:t>lub</w:t>
      </w:r>
      <w:r w:rsidRPr="000D411A">
        <w:rPr>
          <w:i/>
          <w:color w:val="4472C4" w:themeColor="accent1"/>
        </w:rPr>
        <w:t xml:space="preserve"> opracowania wniosku o dofinansowanie  </w:t>
      </w:r>
      <w:r>
        <w:rPr>
          <w:i/>
          <w:color w:val="4472C4" w:themeColor="accent1"/>
        </w:rPr>
        <w:t>wnioskodawcy korzystali</w:t>
      </w:r>
      <w:r w:rsidRPr="000D411A">
        <w:rPr>
          <w:i/>
          <w:color w:val="4472C4" w:themeColor="accent1"/>
        </w:rPr>
        <w:t xml:space="preserve"> z innych źródeł – wytycznych, opracowań, zaleceń dotyczących </w:t>
      </w:r>
      <w:r w:rsidR="00862552">
        <w:rPr>
          <w:i/>
          <w:color w:val="4472C4" w:themeColor="accent1"/>
        </w:rPr>
        <w:t xml:space="preserve">np. </w:t>
      </w:r>
      <w:r w:rsidRPr="000D411A">
        <w:rPr>
          <w:i/>
          <w:color w:val="4472C4" w:themeColor="accent1"/>
        </w:rPr>
        <w:t>metod</w:t>
      </w:r>
      <w:r w:rsidR="00862552">
        <w:rPr>
          <w:i/>
          <w:color w:val="4472C4" w:themeColor="accent1"/>
        </w:rPr>
        <w:t>yki</w:t>
      </w:r>
      <w:r w:rsidRPr="000D411A">
        <w:rPr>
          <w:i/>
          <w:color w:val="4472C4" w:themeColor="accent1"/>
        </w:rPr>
        <w:t xml:space="preserve"> analiz</w:t>
      </w:r>
      <w:r w:rsidR="00862552">
        <w:rPr>
          <w:i/>
          <w:color w:val="4472C4" w:themeColor="accent1"/>
        </w:rPr>
        <w:t>y</w:t>
      </w:r>
      <w:r w:rsidRPr="000D411A">
        <w:rPr>
          <w:i/>
          <w:color w:val="4472C4" w:themeColor="accent1"/>
        </w:rPr>
        <w:t xml:space="preserve"> ryzyka klimatycznego </w:t>
      </w:r>
      <w:r w:rsidR="00862552">
        <w:rPr>
          <w:i/>
          <w:color w:val="4472C4" w:themeColor="accent1"/>
        </w:rPr>
        <w:t>lub</w:t>
      </w:r>
      <w:r w:rsidRPr="000D411A">
        <w:rPr>
          <w:i/>
          <w:color w:val="4472C4" w:themeColor="accent1"/>
        </w:rPr>
        <w:t xml:space="preserve"> odporności inwestycji na zmiany klimatu? Jeżeli tak, jakie to były źródła</w:t>
      </w:r>
      <w:r>
        <w:rPr>
          <w:i/>
          <w:color w:val="4472C4" w:themeColor="accent1"/>
        </w:rPr>
        <w:t xml:space="preserve">? Które z nich były </w:t>
      </w:r>
      <w:r w:rsidRPr="000D411A">
        <w:rPr>
          <w:i/>
          <w:color w:val="4472C4" w:themeColor="accent1"/>
        </w:rPr>
        <w:t xml:space="preserve"> najbardziej przydatne</w:t>
      </w:r>
      <w:r>
        <w:rPr>
          <w:i/>
          <w:color w:val="4472C4" w:themeColor="accent1"/>
        </w:rPr>
        <w:t>?</w:t>
      </w:r>
    </w:p>
    <w:p w:rsidR="003A1840" w:rsidRPr="003A1840" w:rsidRDefault="003A1840" w:rsidP="003A184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3A1840" w:rsidRPr="003A1840" w:rsidRDefault="003A1840" w:rsidP="003A184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0D411A" w:rsidRDefault="000D411A" w:rsidP="00D74E49">
      <w:pPr>
        <w:rPr>
          <w:b/>
        </w:rPr>
      </w:pPr>
      <w:r w:rsidRPr="000D411A">
        <w:rPr>
          <w:b/>
        </w:rPr>
        <w:lastRenderedPageBreak/>
        <w:t>ZAKRES OPCJI KLIMATYCZNYCH STOSOWANYCH W PROJEKTACH FINANSOWANYCH Z INNYCH ŹRÓDEŁ</w:t>
      </w:r>
    </w:p>
    <w:p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:rsidR="003A1840" w:rsidRDefault="003A1840" w:rsidP="003A184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A33F8" w:rsidRPr="000A33F8" w:rsidRDefault="000A33F8" w:rsidP="003A1840">
      <w:pPr>
        <w:spacing w:before="120" w:after="120" w:line="276" w:lineRule="auto"/>
        <w:jc w:val="both"/>
        <w:rPr>
          <w:rFonts w:cstheme="minorHAnsi"/>
          <w:color w:val="FF0000"/>
          <w:lang w:eastAsia="pl-PL"/>
        </w:rPr>
      </w:pPr>
    </w:p>
    <w:sectPr w:rsidR="000A33F8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636C"/>
    <w:multiLevelType w:val="hybridMultilevel"/>
    <w:tmpl w:val="F628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341E"/>
    <w:multiLevelType w:val="hybridMultilevel"/>
    <w:tmpl w:val="AA261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386399B"/>
    <w:multiLevelType w:val="hybridMultilevel"/>
    <w:tmpl w:val="40DC9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21088"/>
    <w:multiLevelType w:val="hybridMultilevel"/>
    <w:tmpl w:val="8732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A1F18"/>
    <w:multiLevelType w:val="hybridMultilevel"/>
    <w:tmpl w:val="27601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215"/>
    <w:rsid w:val="00014C2C"/>
    <w:rsid w:val="0004299F"/>
    <w:rsid w:val="00053F4F"/>
    <w:rsid w:val="00062CE1"/>
    <w:rsid w:val="00070938"/>
    <w:rsid w:val="00090896"/>
    <w:rsid w:val="00092AE3"/>
    <w:rsid w:val="000A33F8"/>
    <w:rsid w:val="000D411A"/>
    <w:rsid w:val="000E07D0"/>
    <w:rsid w:val="0015763D"/>
    <w:rsid w:val="001A0D0D"/>
    <w:rsid w:val="001B3B4D"/>
    <w:rsid w:val="001B3E52"/>
    <w:rsid w:val="00201D77"/>
    <w:rsid w:val="002231EE"/>
    <w:rsid w:val="00230E7E"/>
    <w:rsid w:val="002F54E6"/>
    <w:rsid w:val="002F6113"/>
    <w:rsid w:val="003074CB"/>
    <w:rsid w:val="003272F3"/>
    <w:rsid w:val="00361A74"/>
    <w:rsid w:val="003719E6"/>
    <w:rsid w:val="0038570D"/>
    <w:rsid w:val="003A1840"/>
    <w:rsid w:val="003F0DEE"/>
    <w:rsid w:val="004002EE"/>
    <w:rsid w:val="00436F2A"/>
    <w:rsid w:val="0044652E"/>
    <w:rsid w:val="00447995"/>
    <w:rsid w:val="0045075D"/>
    <w:rsid w:val="00457898"/>
    <w:rsid w:val="004662BE"/>
    <w:rsid w:val="0048086C"/>
    <w:rsid w:val="00482AFF"/>
    <w:rsid w:val="004D3E4E"/>
    <w:rsid w:val="004D43D1"/>
    <w:rsid w:val="004E4D11"/>
    <w:rsid w:val="004E68FB"/>
    <w:rsid w:val="004F08E8"/>
    <w:rsid w:val="004F5599"/>
    <w:rsid w:val="00501740"/>
    <w:rsid w:val="0053468D"/>
    <w:rsid w:val="0056579D"/>
    <w:rsid w:val="0059040C"/>
    <w:rsid w:val="005A1CBC"/>
    <w:rsid w:val="005B3BF0"/>
    <w:rsid w:val="005C1F1C"/>
    <w:rsid w:val="00600253"/>
    <w:rsid w:val="00604C64"/>
    <w:rsid w:val="0063083D"/>
    <w:rsid w:val="00635B82"/>
    <w:rsid w:val="00652EB6"/>
    <w:rsid w:val="00670CF5"/>
    <w:rsid w:val="00675B8E"/>
    <w:rsid w:val="006A0215"/>
    <w:rsid w:val="006C44ED"/>
    <w:rsid w:val="006D6EC3"/>
    <w:rsid w:val="006E3C60"/>
    <w:rsid w:val="006F7D28"/>
    <w:rsid w:val="007070B6"/>
    <w:rsid w:val="007228C7"/>
    <w:rsid w:val="007425E1"/>
    <w:rsid w:val="007623D9"/>
    <w:rsid w:val="007923D6"/>
    <w:rsid w:val="007A4A0C"/>
    <w:rsid w:val="007B08A4"/>
    <w:rsid w:val="007D3586"/>
    <w:rsid w:val="007D4675"/>
    <w:rsid w:val="0080161A"/>
    <w:rsid w:val="008155B8"/>
    <w:rsid w:val="0081711D"/>
    <w:rsid w:val="0082304F"/>
    <w:rsid w:val="00824E30"/>
    <w:rsid w:val="008615EE"/>
    <w:rsid w:val="00862552"/>
    <w:rsid w:val="008A51F8"/>
    <w:rsid w:val="008B3383"/>
    <w:rsid w:val="0091713A"/>
    <w:rsid w:val="009567FA"/>
    <w:rsid w:val="009633DB"/>
    <w:rsid w:val="009C4F1D"/>
    <w:rsid w:val="009E7D85"/>
    <w:rsid w:val="00A0178C"/>
    <w:rsid w:val="00A0291F"/>
    <w:rsid w:val="00A12FAD"/>
    <w:rsid w:val="00A34900"/>
    <w:rsid w:val="00A700B8"/>
    <w:rsid w:val="00A9370C"/>
    <w:rsid w:val="00A9785B"/>
    <w:rsid w:val="00AB21A8"/>
    <w:rsid w:val="00AC3866"/>
    <w:rsid w:val="00AE05D2"/>
    <w:rsid w:val="00B15F0C"/>
    <w:rsid w:val="00B95F15"/>
    <w:rsid w:val="00BA2D24"/>
    <w:rsid w:val="00BA7F7A"/>
    <w:rsid w:val="00BE5DB2"/>
    <w:rsid w:val="00C45BDB"/>
    <w:rsid w:val="00C71CFF"/>
    <w:rsid w:val="00C76E2A"/>
    <w:rsid w:val="00C83EC3"/>
    <w:rsid w:val="00CA3E10"/>
    <w:rsid w:val="00CA630C"/>
    <w:rsid w:val="00CB2DA1"/>
    <w:rsid w:val="00CC643A"/>
    <w:rsid w:val="00D45C33"/>
    <w:rsid w:val="00D6105C"/>
    <w:rsid w:val="00D74E49"/>
    <w:rsid w:val="00D856BA"/>
    <w:rsid w:val="00D86DD6"/>
    <w:rsid w:val="00D90BDF"/>
    <w:rsid w:val="00DC0BC9"/>
    <w:rsid w:val="00DD0CC0"/>
    <w:rsid w:val="00DE2465"/>
    <w:rsid w:val="00DF473C"/>
    <w:rsid w:val="00DF55C9"/>
    <w:rsid w:val="00E20452"/>
    <w:rsid w:val="00E24F1E"/>
    <w:rsid w:val="00E55CA2"/>
    <w:rsid w:val="00E7407F"/>
    <w:rsid w:val="00E93311"/>
    <w:rsid w:val="00EC3B49"/>
    <w:rsid w:val="00EE5091"/>
    <w:rsid w:val="00F1705D"/>
    <w:rsid w:val="00F54AB3"/>
    <w:rsid w:val="00F928BA"/>
    <w:rsid w:val="00F928E8"/>
    <w:rsid w:val="00FC32A3"/>
    <w:rsid w:val="00FE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8FF5"/>
  <w15:docId w15:val="{C1B501AB-1432-48B0-BEA3-F16BE50F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D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2581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19</cp:revision>
  <dcterms:created xsi:type="dcterms:W3CDTF">2018-10-16T15:45:00Z</dcterms:created>
  <dcterms:modified xsi:type="dcterms:W3CDTF">2018-11-16T00:18:00Z</dcterms:modified>
</cp:coreProperties>
</file>